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0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615375663" r:id="rId9"/>
        </w:object>
      </w:r>
    </w:p>
    <w:p w:rsidR="008D3633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</w:p>
    <w:p w:rsidR="008D3633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</w:p>
    <w:p w:rsidR="008D3633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</w:p>
    <w:p w:rsidR="008D3633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</w:p>
    <w:p w:rsidR="008D3633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</w:p>
    <w:p w:rsidR="008D3633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</w:p>
    <w:p w:rsidR="008D3633" w:rsidRPr="004E20D7" w:rsidRDefault="008D3633" w:rsidP="007F7DCF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7F7DCF" w:rsidRPr="004E20D7" w:rsidRDefault="007F7DCF" w:rsidP="007F7DCF">
      <w:pPr>
        <w:spacing w:after="0" w:line="240" w:lineRule="auto"/>
        <w:jc w:val="both"/>
        <w:rPr>
          <w:rFonts w:ascii="Times New Roman" w:hAnsi="Times New Roman"/>
        </w:rPr>
      </w:pPr>
    </w:p>
    <w:p w:rsidR="00DF395F" w:rsidRPr="00D34A8F" w:rsidRDefault="007F7DCF" w:rsidP="00D34A8F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</w:rPr>
      </w:pPr>
      <w:r w:rsidRPr="00D34A8F">
        <w:rPr>
          <w:rFonts w:ascii="Times New Roman" w:hAnsi="Times New Roman"/>
          <w:b/>
        </w:rPr>
        <w:t xml:space="preserve">Кодекс этики и служебного поведения работников </w:t>
      </w:r>
      <w:r w:rsidR="00DF395F" w:rsidRPr="00D34A8F">
        <w:rPr>
          <w:rFonts w:ascii="Times New Roman" w:hAnsi="Times New Roman"/>
          <w:b/>
          <w:sz w:val="24"/>
          <w:szCs w:val="24"/>
        </w:rPr>
        <w:t>ГАУЗ «</w:t>
      </w:r>
      <w:proofErr w:type="spellStart"/>
      <w:r w:rsidR="00DF395F" w:rsidRPr="00D34A8F">
        <w:rPr>
          <w:rFonts w:ascii="Times New Roman" w:hAnsi="Times New Roman"/>
          <w:b/>
          <w:sz w:val="24"/>
          <w:szCs w:val="24"/>
        </w:rPr>
        <w:t>Мензелинская</w:t>
      </w:r>
      <w:proofErr w:type="spellEnd"/>
      <w:r w:rsidR="00DF395F" w:rsidRPr="00D34A8F">
        <w:rPr>
          <w:rFonts w:ascii="Times New Roman" w:hAnsi="Times New Roman"/>
          <w:b/>
          <w:sz w:val="24"/>
          <w:szCs w:val="24"/>
        </w:rPr>
        <w:t xml:space="preserve"> ЦРБ»</w:t>
      </w:r>
    </w:p>
    <w:p w:rsidR="007F7DCF" w:rsidRPr="004E20D7" w:rsidRDefault="007F7DCF" w:rsidP="00DD5290">
      <w:pPr>
        <w:spacing w:before="100" w:beforeAutospacing="1"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 xml:space="preserve">(далее – Кодекс) разработан в соответствии с положениями Конституции, Трудового кодекса, </w:t>
      </w:r>
      <w:r w:rsidR="00DD5290">
        <w:rPr>
          <w:rFonts w:ascii="Times New Roman" w:hAnsi="Times New Roman"/>
        </w:rPr>
        <w:t>Федерального</w:t>
      </w:r>
      <w:r w:rsidR="00DD5290" w:rsidRPr="00DD5290">
        <w:rPr>
          <w:rFonts w:ascii="Times New Roman" w:hAnsi="Times New Roman"/>
        </w:rPr>
        <w:t xml:space="preserve"> закон</w:t>
      </w:r>
      <w:r w:rsidR="00DD5290">
        <w:rPr>
          <w:rFonts w:ascii="Times New Roman" w:hAnsi="Times New Roman"/>
        </w:rPr>
        <w:t>а</w:t>
      </w:r>
      <w:r w:rsidR="00DD5290" w:rsidRPr="00DD5290">
        <w:rPr>
          <w:rFonts w:ascii="Times New Roman" w:hAnsi="Times New Roman"/>
        </w:rPr>
        <w:t xml:space="preserve"> от 25.12.2008 № 273-ФЗ</w:t>
      </w:r>
      <w:r w:rsidR="00DD5290">
        <w:rPr>
          <w:rFonts w:ascii="Times New Roman" w:hAnsi="Times New Roman"/>
        </w:rPr>
        <w:t xml:space="preserve"> «</w:t>
      </w:r>
      <w:r w:rsidR="00DD5290" w:rsidRPr="00DD5290">
        <w:rPr>
          <w:rFonts w:ascii="Times New Roman" w:hAnsi="Times New Roman"/>
        </w:rPr>
        <w:t>О противодействии коррупции</w:t>
      </w:r>
      <w:r w:rsidR="00DD5290">
        <w:rPr>
          <w:rFonts w:ascii="Times New Roman" w:hAnsi="Times New Roman"/>
        </w:rPr>
        <w:t>»</w:t>
      </w:r>
      <w:r w:rsidRPr="004E20D7">
        <w:rPr>
          <w:rFonts w:ascii="Times New Roman" w:hAnsi="Times New Roman"/>
        </w:rPr>
        <w:t>, иных нормативных правовых актов, а также основан на общепризнанных нравственных принципах и нормах российского общества и государства.</w:t>
      </w:r>
    </w:p>
    <w:p w:rsidR="007F7DCF" w:rsidRPr="00DD5290" w:rsidRDefault="00DD5290" w:rsidP="00D34A8F">
      <w:pPr>
        <w:spacing w:before="100" w:beforeAutospacing="1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1. </w:t>
      </w:r>
      <w:r w:rsidR="007F7DCF" w:rsidRPr="00DD5290">
        <w:rPr>
          <w:rFonts w:ascii="Times New Roman" w:hAnsi="Times New Roman"/>
          <w:b/>
          <w:bCs/>
        </w:rPr>
        <w:t>Общие положения</w:t>
      </w:r>
    </w:p>
    <w:p w:rsidR="007F7DCF" w:rsidRDefault="00DD5290" w:rsidP="00DD52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7F7DCF" w:rsidRPr="004E20D7">
        <w:rPr>
          <w:rFonts w:ascii="Times New Roman" w:hAnsi="Times New Roman"/>
        </w:rPr>
        <w:t xml:space="preserve">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D34A8F">
        <w:rPr>
          <w:rFonts w:ascii="Times New Roman" w:hAnsi="Times New Roman"/>
        </w:rPr>
        <w:t xml:space="preserve">               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</w:t>
      </w:r>
      <w:proofErr w:type="gramStart"/>
      <w:r w:rsidR="00DF395F" w:rsidRPr="00DF395F">
        <w:rPr>
          <w:rFonts w:ascii="Times New Roman" w:hAnsi="Times New Roman"/>
        </w:rPr>
        <w:t>»</w:t>
      </w:r>
      <w:r w:rsidR="007F7DCF" w:rsidRPr="004E20D7">
        <w:rPr>
          <w:rFonts w:ascii="Times New Roman" w:hAnsi="Times New Roman"/>
        </w:rPr>
        <w:t>(</w:t>
      </w:r>
      <w:proofErr w:type="gramEnd"/>
      <w:r w:rsidR="007F7DCF" w:rsidRPr="004E20D7">
        <w:rPr>
          <w:rFonts w:ascii="Times New Roman" w:hAnsi="Times New Roman"/>
        </w:rPr>
        <w:t>далее – работники) независимо от занимаемой ими должности.</w:t>
      </w:r>
    </w:p>
    <w:p w:rsidR="007F7DCF" w:rsidRDefault="00DD5290" w:rsidP="00DD529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F7DCF" w:rsidRPr="004E20D7">
        <w:rPr>
          <w:rFonts w:ascii="Times New Roman" w:hAnsi="Times New Roman"/>
        </w:rPr>
        <w:t xml:space="preserve">2. Каждый работник должен принимать все необходимые меры для соблюдения положений Кодекса, а каждый гражданин </w:t>
      </w:r>
      <w:r w:rsidR="0025019F" w:rsidRPr="004E20D7">
        <w:rPr>
          <w:rFonts w:ascii="Times New Roman" w:hAnsi="Times New Roman"/>
        </w:rPr>
        <w:t>РФ</w:t>
      </w:r>
      <w:r w:rsidR="007F7DCF" w:rsidRPr="004E20D7">
        <w:rPr>
          <w:rFonts w:ascii="Times New Roman" w:hAnsi="Times New Roman"/>
        </w:rPr>
        <w:t xml:space="preserve"> вправе ожидать от работника поведения в отношениях с ним в соответствии с положениями Кодекса.</w:t>
      </w:r>
    </w:p>
    <w:p w:rsidR="007F7DCF" w:rsidRPr="004E20D7" w:rsidRDefault="00DD5290" w:rsidP="00DD5290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F7DCF" w:rsidRPr="004E20D7">
        <w:rPr>
          <w:rFonts w:ascii="Times New Roman" w:hAnsi="Times New Roman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7F7DCF" w:rsidRPr="00DD5290" w:rsidRDefault="00DD5290" w:rsidP="00D34A8F">
      <w:pPr>
        <w:spacing w:before="240"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r w:rsidR="007F7DCF" w:rsidRPr="00DD5290">
        <w:rPr>
          <w:rFonts w:ascii="Times New Roman" w:hAnsi="Times New Roman"/>
          <w:b/>
          <w:bCs/>
        </w:rPr>
        <w:t>Основные обязанности, принципы и правила служебного поведения работников</w:t>
      </w:r>
    </w:p>
    <w:p w:rsidR="007F7DCF" w:rsidRPr="004E20D7" w:rsidRDefault="007F7DCF" w:rsidP="00DD5290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2.1. В соответствии со статьей 21 Трудового кодекса работник обязан: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добросовестно исполнять свои трудовые обязанности, возложенные на него трудовым договором;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соблюдать </w:t>
      </w:r>
      <w:r w:rsidRPr="004E20D7">
        <w:rPr>
          <w:rFonts w:ascii="Times New Roman" w:hAnsi="Times New Roman"/>
        </w:rPr>
        <w:t>П</w:t>
      </w:r>
      <w:r w:rsidR="007F7DCF" w:rsidRPr="004E20D7">
        <w:rPr>
          <w:rFonts w:ascii="Times New Roman" w:hAnsi="Times New Roman"/>
        </w:rPr>
        <w:t xml:space="preserve">равила </w:t>
      </w:r>
      <w:r w:rsidR="00DD5290">
        <w:rPr>
          <w:rFonts w:ascii="Times New Roman" w:hAnsi="Times New Roman"/>
        </w:rPr>
        <w:t xml:space="preserve">внутреннего </w:t>
      </w:r>
      <w:r w:rsidR="007F7DCF" w:rsidRPr="004E20D7">
        <w:rPr>
          <w:rFonts w:ascii="Times New Roman" w:hAnsi="Times New Roman"/>
        </w:rPr>
        <w:t>трудового распорядка;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соблюдать трудовую дисциплину;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выполнять установленные нормы труда;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соблюдать требования по охране труда и обеспечению безопасности труда;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бережно относиться к имуществу работодателя (в т</w:t>
      </w:r>
      <w:r w:rsidRPr="004E20D7">
        <w:rPr>
          <w:rFonts w:ascii="Times New Roman" w:hAnsi="Times New Roman"/>
        </w:rPr>
        <w:t>.</w:t>
      </w:r>
      <w:r w:rsidR="007F7DCF" w:rsidRPr="004E20D7">
        <w:rPr>
          <w:rFonts w:ascii="Times New Roman" w:hAnsi="Times New Roman"/>
        </w:rPr>
        <w:t xml:space="preserve"> ч</w:t>
      </w:r>
      <w:r w:rsidRPr="004E20D7">
        <w:rPr>
          <w:rFonts w:ascii="Times New Roman" w:hAnsi="Times New Roman"/>
        </w:rPr>
        <w:t>.</w:t>
      </w:r>
      <w:r w:rsidR="007F7DCF" w:rsidRPr="004E20D7">
        <w:rPr>
          <w:rFonts w:ascii="Times New Roman" w:hAnsi="Times New Roman"/>
        </w:rPr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7F7DCF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</w:t>
      </w:r>
      <w:r w:rsidRPr="004E20D7">
        <w:rPr>
          <w:rFonts w:ascii="Times New Roman" w:hAnsi="Times New Roman"/>
        </w:rPr>
        <w:t>.</w:t>
      </w:r>
      <w:r w:rsidR="007F7DCF" w:rsidRPr="004E20D7">
        <w:rPr>
          <w:rFonts w:ascii="Times New Roman" w:hAnsi="Times New Roman"/>
        </w:rPr>
        <w:t xml:space="preserve"> ч</w:t>
      </w:r>
      <w:r w:rsidRPr="004E20D7">
        <w:rPr>
          <w:rFonts w:ascii="Times New Roman" w:hAnsi="Times New Roman"/>
        </w:rPr>
        <w:t>.</w:t>
      </w:r>
      <w:r w:rsidR="007F7DCF" w:rsidRPr="004E20D7">
        <w:rPr>
          <w:rFonts w:ascii="Times New Roman" w:hAnsi="Times New Roman"/>
        </w:rPr>
        <w:t xml:space="preserve">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F7DCF" w:rsidRPr="004E20D7" w:rsidRDefault="007F7DCF" w:rsidP="00DD5290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 xml:space="preserve">2.2.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Pr="004E20D7">
        <w:rPr>
          <w:rFonts w:ascii="Times New Roman" w:hAnsi="Times New Roman"/>
        </w:rPr>
        <w:t>.</w:t>
      </w:r>
    </w:p>
    <w:p w:rsidR="007F7DCF" w:rsidRPr="004E20D7" w:rsidRDefault="007F7DC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Работники, сознавая ответственность перед гражданами, обществом и государством, призваны: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государственного учреждения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="007F7DCF" w:rsidRPr="004E20D7">
        <w:rPr>
          <w:rFonts w:ascii="Times New Roman" w:hAnsi="Times New Roman"/>
        </w:rPr>
        <w:t>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DD5290">
        <w:rPr>
          <w:rFonts w:ascii="Times New Roman" w:hAnsi="Times New Roman"/>
        </w:rPr>
        <w:t xml:space="preserve"> соблюдать Конституцию</w:t>
      </w:r>
      <w:r w:rsidR="007F7DCF" w:rsidRPr="004E20D7">
        <w:rPr>
          <w:rFonts w:ascii="Times New Roman" w:hAnsi="Times New Roman"/>
        </w:rPr>
        <w:t xml:space="preserve">, законодательство Российской Федерации и </w:t>
      </w:r>
      <w:r w:rsidR="00DF395F">
        <w:rPr>
          <w:rFonts w:ascii="Times New Roman" w:hAnsi="Times New Roman"/>
        </w:rPr>
        <w:t>Республики Татарстан</w:t>
      </w:r>
      <w:r w:rsidR="007F7DCF" w:rsidRPr="004E20D7">
        <w:rPr>
          <w:rFonts w:ascii="Times New Roman" w:hAnsi="Times New Roman"/>
        </w:rPr>
        <w:t>, не допускать нарушени</w:t>
      </w:r>
      <w:r w:rsidR="00913559" w:rsidRPr="004E20D7">
        <w:rPr>
          <w:rFonts w:ascii="Times New Roman" w:hAnsi="Times New Roman"/>
        </w:rPr>
        <w:t>я</w:t>
      </w:r>
      <w:r w:rsidR="007F7DCF" w:rsidRPr="004E20D7">
        <w:rPr>
          <w:rFonts w:ascii="Times New Roman" w:hAnsi="Times New Roman"/>
        </w:rPr>
        <w:t xml:space="preserve"> законов и иных нормативных правовых актов исходя из политической, экономической целесообразности либо по иным мотивам;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обеспечивать эффективную работу </w:t>
      </w:r>
      <w:r w:rsidR="00DF395F">
        <w:rPr>
          <w:rFonts w:ascii="Times New Roman" w:hAnsi="Times New Roman"/>
        </w:rPr>
        <w:t>медицинской организации;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осуществлять свою деятельность в пределах предмета и целей деятельности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="007F7DCF" w:rsidRPr="004E20D7">
        <w:rPr>
          <w:rFonts w:ascii="Times New Roman" w:hAnsi="Times New Roman"/>
        </w:rPr>
        <w:t xml:space="preserve">, а также полномочий предприятий и учреждений, подведомственных исполнительным органам государственной власти </w:t>
      </w:r>
      <w:r w:rsidR="00DF395F">
        <w:rPr>
          <w:rFonts w:ascii="Times New Roman" w:hAnsi="Times New Roman"/>
        </w:rPr>
        <w:t>Республики Татарстан</w:t>
      </w:r>
      <w:r w:rsidR="007F7DCF" w:rsidRPr="004E20D7">
        <w:rPr>
          <w:rFonts w:ascii="Times New Roman" w:hAnsi="Times New Roman"/>
        </w:rPr>
        <w:t>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lastRenderedPageBreak/>
        <w:t>–</w:t>
      </w:r>
      <w:r w:rsidR="007F7DCF" w:rsidRPr="004E20D7">
        <w:rPr>
          <w:rFonts w:ascii="Times New Roman" w:hAnsi="Times New Roman"/>
        </w:rPr>
        <w:t xml:space="preserve">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соблюдать нормы профессиональной этики и правила делового поведения;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проявлять корректность и внимательность в обращении с гражданами и должностными лицами;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="007F7DCF" w:rsidRPr="004E20D7">
        <w:rPr>
          <w:rFonts w:ascii="Times New Roman" w:hAnsi="Times New Roman"/>
        </w:rPr>
        <w:t>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воздерживаться от публичных высказываний, суждений и оценок в отношении деятельности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="007F7DCF" w:rsidRPr="004E20D7">
        <w:rPr>
          <w:rFonts w:ascii="Times New Roman" w:hAnsi="Times New Roman"/>
        </w:rPr>
        <w:t>, его руководителя, если это не входит в должностные обязанности работника;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соблюдать установленные в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</w:t>
      </w:r>
      <w:proofErr w:type="spellStart"/>
      <w:r w:rsidR="00DF395F" w:rsidRPr="00DF395F">
        <w:rPr>
          <w:rFonts w:ascii="Times New Roman" w:hAnsi="Times New Roman"/>
        </w:rPr>
        <w:t>ЦРБ</w:t>
      </w:r>
      <w:proofErr w:type="gramStart"/>
      <w:r w:rsidR="00DF395F" w:rsidRPr="00DF395F">
        <w:rPr>
          <w:rFonts w:ascii="Times New Roman" w:hAnsi="Times New Roman"/>
        </w:rPr>
        <w:t>»</w:t>
      </w:r>
      <w:r w:rsidR="007F7DCF" w:rsidRPr="004E20D7">
        <w:rPr>
          <w:rFonts w:ascii="Times New Roman" w:hAnsi="Times New Roman"/>
        </w:rPr>
        <w:t>п</w:t>
      </w:r>
      <w:proofErr w:type="gramEnd"/>
      <w:r w:rsidR="007F7DCF" w:rsidRPr="004E20D7">
        <w:rPr>
          <w:rFonts w:ascii="Times New Roman" w:hAnsi="Times New Roman"/>
        </w:rPr>
        <w:t>равила</w:t>
      </w:r>
      <w:proofErr w:type="spellEnd"/>
      <w:r w:rsidR="007F7DCF" w:rsidRPr="004E20D7">
        <w:rPr>
          <w:rFonts w:ascii="Times New Roman" w:hAnsi="Times New Roman"/>
        </w:rPr>
        <w:t xml:space="preserve"> предоставления служебной информации и публичных выступлений;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уважительно относиться к деятельности представителей средств массовой информации по информированию общества о работе </w:t>
      </w:r>
      <w:r w:rsidR="00DF395F">
        <w:rPr>
          <w:rFonts w:ascii="Times New Roman" w:hAnsi="Times New Roman"/>
        </w:rPr>
        <w:t>медицинской организации</w:t>
      </w:r>
      <w:r w:rsidR="007F7DCF" w:rsidRPr="004E20D7">
        <w:rPr>
          <w:rFonts w:ascii="Times New Roman" w:hAnsi="Times New Roman"/>
        </w:rPr>
        <w:t>, а также оказывать содействие в получении достоверной информации в установленном порядке;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противодействов</w:t>
      </w:r>
      <w:r w:rsidR="00913559" w:rsidRPr="004E20D7">
        <w:rPr>
          <w:rFonts w:ascii="Times New Roman" w:hAnsi="Times New Roman"/>
        </w:rPr>
        <w:t xml:space="preserve">ать проявлениям коррупции и </w:t>
      </w:r>
      <w:r w:rsidR="007F7DCF" w:rsidRPr="004E20D7">
        <w:rPr>
          <w:rFonts w:ascii="Times New Roman" w:hAnsi="Times New Roman"/>
        </w:rPr>
        <w:t>принимать меры по ее профилактике в порядке, установленном действующим законодательством;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="007F7DCF" w:rsidRPr="004E20D7">
        <w:rPr>
          <w:rFonts w:ascii="Times New Roman" w:hAnsi="Times New Roman"/>
        </w:rPr>
        <w:t>коррупционно</w:t>
      </w:r>
      <w:proofErr w:type="spellEnd"/>
      <w:r w:rsidR="007F7DCF" w:rsidRPr="004E20D7">
        <w:rPr>
          <w:rFonts w:ascii="Times New Roman" w:hAnsi="Times New Roman"/>
        </w:rPr>
        <w:t xml:space="preserve"> опасного поведения (поведения, которое может восприниматься окружающими как обещание или предложение да</w:t>
      </w:r>
      <w:r w:rsidR="00E50139">
        <w:rPr>
          <w:rFonts w:ascii="Times New Roman" w:hAnsi="Times New Roman"/>
        </w:rPr>
        <w:t>ть взятку</w:t>
      </w:r>
      <w:r w:rsidR="007F7DCF" w:rsidRPr="004E20D7">
        <w:rPr>
          <w:rFonts w:ascii="Times New Roman" w:hAnsi="Times New Roman"/>
        </w:rPr>
        <w:t xml:space="preserve">, как согласие принять взятку или как просьба </w:t>
      </w:r>
      <w:r w:rsidR="00E50139">
        <w:rPr>
          <w:rFonts w:ascii="Times New Roman" w:hAnsi="Times New Roman"/>
        </w:rPr>
        <w:t>дать</w:t>
      </w:r>
      <w:r w:rsidR="007F7DCF" w:rsidRPr="004E20D7">
        <w:rPr>
          <w:rFonts w:ascii="Times New Roman" w:hAnsi="Times New Roman"/>
        </w:rPr>
        <w:t xml:space="preserve"> взятк</w:t>
      </w:r>
      <w:r w:rsidR="00E50139">
        <w:rPr>
          <w:rFonts w:ascii="Times New Roman" w:hAnsi="Times New Roman"/>
        </w:rPr>
        <w:t>у</w:t>
      </w:r>
      <w:r w:rsidR="007F7DCF" w:rsidRPr="004E20D7">
        <w:rPr>
          <w:rFonts w:ascii="Times New Roman" w:hAnsi="Times New Roman"/>
        </w:rPr>
        <w:t xml:space="preserve"> либо как возможность совершить иное коррупционное правонарушение).</w:t>
      </w:r>
    </w:p>
    <w:p w:rsidR="007F7DCF" w:rsidRPr="004E20D7" w:rsidRDefault="007F7DCF" w:rsidP="00E50139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2.3. В целях противодействия коррупции работнику рекомендуется: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proofErr w:type="gramEnd"/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F7DCF" w:rsidRPr="004E20D7" w:rsidRDefault="007F7DCF" w:rsidP="002A2BB6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lastRenderedPageBreak/>
        <w:t xml:space="preserve">2.4. Работник может обрабатывать и передавать служебную информацию при соблюдении действующих </w:t>
      </w:r>
      <w:r w:rsidR="002A2BB6">
        <w:rPr>
          <w:rFonts w:ascii="Times New Roman" w:hAnsi="Times New Roman"/>
        </w:rPr>
        <w:t xml:space="preserve">в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Pr="004E20D7">
        <w:rPr>
          <w:rFonts w:ascii="Times New Roman" w:hAnsi="Times New Roman"/>
        </w:rPr>
        <w:t xml:space="preserve"> норм и требований, принятых в соответствии с законодательством Российской Федерации.</w:t>
      </w:r>
    </w:p>
    <w:p w:rsidR="007F7DCF" w:rsidRDefault="007F7DC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F7DCF" w:rsidRPr="004E20D7" w:rsidRDefault="007F7DCF" w:rsidP="002A2BB6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2.5.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7F7DCF" w:rsidRPr="004E20D7" w:rsidRDefault="007F7DC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="007F7DCF" w:rsidRPr="004E20D7">
        <w:rPr>
          <w:rFonts w:ascii="Times New Roman" w:hAnsi="Times New Roman"/>
        </w:rPr>
        <w:t>коррупционно</w:t>
      </w:r>
      <w:proofErr w:type="spellEnd"/>
      <w:r w:rsidR="007F7DCF" w:rsidRPr="004E20D7">
        <w:rPr>
          <w:rFonts w:ascii="Times New Roman" w:hAnsi="Times New Roman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7F7DCF" w:rsidRPr="004E20D7" w:rsidRDefault="007F7DC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 xml:space="preserve">Главный врач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="005C5557">
        <w:rPr>
          <w:rFonts w:ascii="Times New Roman" w:hAnsi="Times New Roman"/>
        </w:rPr>
        <w:t xml:space="preserve"> </w:t>
      </w:r>
      <w:r w:rsidRPr="004E20D7">
        <w:rPr>
          <w:rFonts w:ascii="Times New Roman" w:hAnsi="Times New Roman"/>
        </w:rPr>
        <w:t>обязан пред</w:t>
      </w:r>
      <w:r w:rsidR="00913559" w:rsidRPr="004E20D7">
        <w:rPr>
          <w:rFonts w:ascii="Times New Roman" w:hAnsi="Times New Roman"/>
        </w:rPr>
        <w:t>о</w:t>
      </w:r>
      <w:r w:rsidRPr="004E20D7">
        <w:rPr>
          <w:rFonts w:ascii="Times New Roman" w:hAnsi="Times New Roman"/>
        </w:rPr>
        <w:t>ставлять сведения о доходах, об имуществе и обязательствах имущественного характер</w:t>
      </w:r>
      <w:r w:rsidR="00913559" w:rsidRPr="004E20D7">
        <w:rPr>
          <w:rFonts w:ascii="Times New Roman" w:hAnsi="Times New Roman"/>
        </w:rPr>
        <w:t>а</w:t>
      </w:r>
      <w:r w:rsidRPr="004E20D7">
        <w:rPr>
          <w:rFonts w:ascii="Times New Roman" w:hAnsi="Times New Roman"/>
        </w:rPr>
        <w:t xml:space="preserve"> в соответствии с законодательством Российской Федерации.</w:t>
      </w:r>
    </w:p>
    <w:p w:rsidR="007F7DCF" w:rsidRPr="002A2BB6" w:rsidRDefault="007F7DCF" w:rsidP="00D34A8F">
      <w:pPr>
        <w:spacing w:before="240" w:after="120"/>
        <w:jc w:val="center"/>
        <w:rPr>
          <w:rFonts w:ascii="Times New Roman" w:hAnsi="Times New Roman"/>
          <w:b/>
        </w:rPr>
      </w:pPr>
      <w:r w:rsidRPr="002A2BB6">
        <w:rPr>
          <w:rFonts w:ascii="Times New Roman" w:hAnsi="Times New Roman"/>
          <w:b/>
          <w:bCs/>
        </w:rPr>
        <w:t>3. Этические правила служебного поведения работников</w:t>
      </w:r>
    </w:p>
    <w:p w:rsidR="007F7DCF" w:rsidRDefault="007F7DCF" w:rsidP="002A2BB6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3.1. В служебном поведении работнику необходимо исходить из конституционных положений о том, что человек, его права и свободы являются высшей ценностью</w:t>
      </w:r>
      <w:r w:rsidR="002A2BB6">
        <w:rPr>
          <w:rFonts w:ascii="Times New Roman" w:hAnsi="Times New Roman"/>
        </w:rPr>
        <w:t>,</w:t>
      </w:r>
      <w:r w:rsidRPr="004E20D7">
        <w:rPr>
          <w:rFonts w:ascii="Times New Roman" w:hAnsi="Times New Roman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F7DCF" w:rsidRPr="004E20D7" w:rsidRDefault="007F7DCF" w:rsidP="002A2BB6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3.2. В служебном пове</w:t>
      </w:r>
      <w:r w:rsidR="002A2BB6">
        <w:rPr>
          <w:rFonts w:ascii="Times New Roman" w:hAnsi="Times New Roman"/>
        </w:rPr>
        <w:t>дении работник воздерживается</w:t>
      </w:r>
      <w:r w:rsidRPr="004E20D7">
        <w:rPr>
          <w:rFonts w:ascii="Times New Roman" w:hAnsi="Times New Roman"/>
        </w:rPr>
        <w:t>: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4E20D7">
        <w:rPr>
          <w:rFonts w:ascii="Times New Roman" w:hAnsi="Times New Roman"/>
        </w:rPr>
        <w:t>–</w:t>
      </w:r>
      <w:r w:rsidR="002A2BB6">
        <w:rPr>
          <w:rFonts w:ascii="Times New Roman" w:hAnsi="Times New Roman"/>
        </w:rPr>
        <w:t xml:space="preserve">от </w:t>
      </w:r>
      <w:r w:rsidR="007F7DCF" w:rsidRPr="004E20D7">
        <w:rPr>
          <w:rFonts w:ascii="Times New Roman" w:hAnsi="Times New Roman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proofErr w:type="gramEnd"/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F7DCF" w:rsidRPr="004E20D7" w:rsidRDefault="0025019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–</w:t>
      </w:r>
      <w:r w:rsidR="007F7DCF" w:rsidRPr="004E20D7">
        <w:rPr>
          <w:rFonts w:ascii="Times New Roman" w:hAnsi="Times New Roman"/>
        </w:rPr>
        <w:t xml:space="preserve"> принятия пищи, курения во время служебных совещаний, бесед, иного служебного общения с гражданами.</w:t>
      </w:r>
    </w:p>
    <w:p w:rsidR="007F7DCF" w:rsidRPr="004E20D7" w:rsidRDefault="007F7DCF" w:rsidP="002A2BB6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F7DCF" w:rsidRPr="004E20D7" w:rsidRDefault="007F7DCF" w:rsidP="00DD5290">
      <w:pPr>
        <w:spacing w:after="0"/>
        <w:ind w:firstLine="567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D33F3" w:rsidRPr="004E20D7" w:rsidRDefault="007F7DCF" w:rsidP="005C5557">
      <w:pPr>
        <w:spacing w:after="0"/>
        <w:jc w:val="both"/>
        <w:rPr>
          <w:rFonts w:ascii="Times New Roman" w:hAnsi="Times New Roman"/>
        </w:rPr>
      </w:pPr>
      <w:r w:rsidRPr="004E20D7">
        <w:rPr>
          <w:rFonts w:ascii="Times New Roman" w:hAnsi="Times New Roman"/>
        </w:rPr>
        <w:t xml:space="preserve">3.4.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DF395F" w:rsidRPr="00DF395F">
        <w:rPr>
          <w:rFonts w:ascii="Times New Roman" w:hAnsi="Times New Roman"/>
        </w:rPr>
        <w:t>ГАУЗ «</w:t>
      </w:r>
      <w:proofErr w:type="spellStart"/>
      <w:r w:rsidR="00DF395F" w:rsidRPr="00DF395F">
        <w:rPr>
          <w:rFonts w:ascii="Times New Roman" w:hAnsi="Times New Roman"/>
        </w:rPr>
        <w:t>Мензелинская</w:t>
      </w:r>
      <w:proofErr w:type="spellEnd"/>
      <w:r w:rsidR="00DF395F" w:rsidRPr="00DF395F">
        <w:rPr>
          <w:rFonts w:ascii="Times New Roman" w:hAnsi="Times New Roman"/>
        </w:rPr>
        <w:t xml:space="preserve"> ЦРБ»</w:t>
      </w:r>
      <w:r w:rsidRPr="004E20D7">
        <w:rPr>
          <w:rFonts w:ascii="Times New Roman" w:hAnsi="Times New Roman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D33F3" w:rsidRPr="004E20D7" w:rsidRDefault="004D33F3" w:rsidP="00DD5290">
      <w:pPr>
        <w:tabs>
          <w:tab w:val="left" w:pos="1916"/>
        </w:tabs>
        <w:ind w:firstLine="567"/>
        <w:jc w:val="both"/>
        <w:rPr>
          <w:rFonts w:ascii="Times New Roman" w:hAnsi="Times New Roman"/>
        </w:rPr>
      </w:pPr>
    </w:p>
    <w:sectPr w:rsidR="004D33F3" w:rsidRPr="004E20D7" w:rsidSect="007C6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5C" w:rsidRDefault="0079705C" w:rsidP="004D33F3">
      <w:pPr>
        <w:spacing w:after="0" w:line="240" w:lineRule="auto"/>
      </w:pPr>
      <w:r>
        <w:separator/>
      </w:r>
    </w:p>
  </w:endnote>
  <w:endnote w:type="continuationSeparator" w:id="0">
    <w:p w:rsidR="0079705C" w:rsidRDefault="0079705C" w:rsidP="004D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9" w:rsidRDefault="00E501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9" w:rsidRDefault="00E501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9" w:rsidRDefault="00E501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5C" w:rsidRDefault="0079705C" w:rsidP="004D33F3">
      <w:pPr>
        <w:spacing w:after="0" w:line="240" w:lineRule="auto"/>
      </w:pPr>
      <w:r>
        <w:separator/>
      </w:r>
    </w:p>
  </w:footnote>
  <w:footnote w:type="continuationSeparator" w:id="0">
    <w:p w:rsidR="0079705C" w:rsidRDefault="0079705C" w:rsidP="004D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9" w:rsidRDefault="00E501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9" w:rsidRDefault="00E501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139" w:rsidRDefault="00E501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7483"/>
    <w:multiLevelType w:val="hybridMultilevel"/>
    <w:tmpl w:val="DBF286B4"/>
    <w:lvl w:ilvl="0" w:tplc="EB4E95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0191711"/>
    <w:multiLevelType w:val="hybridMultilevel"/>
    <w:tmpl w:val="234690F0"/>
    <w:lvl w:ilvl="0" w:tplc="DD3493CE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86"/>
        </w:tabs>
        <w:ind w:left="6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406"/>
        </w:tabs>
        <w:ind w:left="7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126"/>
        </w:tabs>
        <w:ind w:left="8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846"/>
        </w:tabs>
        <w:ind w:left="8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66"/>
        </w:tabs>
        <w:ind w:left="9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86"/>
        </w:tabs>
        <w:ind w:left="10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006"/>
        </w:tabs>
        <w:ind w:left="11006" w:hanging="180"/>
      </w:pPr>
      <w:rPr>
        <w:rFonts w:cs="Times New Roman"/>
      </w:rPr>
    </w:lvl>
  </w:abstractNum>
  <w:abstractNum w:abstractNumId="2">
    <w:nsid w:val="2CD47FAA"/>
    <w:multiLevelType w:val="hybridMultilevel"/>
    <w:tmpl w:val="F5D0CA94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B4E950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gency FB" w:hAnsi="Agency FB" w:hint="default"/>
        <w:color w:val="00000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75975CC"/>
    <w:multiLevelType w:val="hybridMultilevel"/>
    <w:tmpl w:val="F5D0CA94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B4E950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gency FB" w:hAnsi="Agency FB" w:hint="default"/>
        <w:color w:val="00000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A8C150B"/>
    <w:multiLevelType w:val="hybridMultilevel"/>
    <w:tmpl w:val="B0E283CE"/>
    <w:lvl w:ilvl="0" w:tplc="EB4E95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74346BF"/>
    <w:multiLevelType w:val="hybridMultilevel"/>
    <w:tmpl w:val="3BA0F0C8"/>
    <w:lvl w:ilvl="0" w:tplc="EB4E950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gency FB" w:hAnsi="Agency FB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01"/>
        </w:tabs>
        <w:ind w:left="23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hint="default"/>
      </w:rPr>
    </w:lvl>
  </w:abstractNum>
  <w:abstractNum w:abstractNumId="6">
    <w:nsid w:val="6FCE03B7"/>
    <w:multiLevelType w:val="hybridMultilevel"/>
    <w:tmpl w:val="050AC94C"/>
    <w:lvl w:ilvl="0" w:tplc="EB4E950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gency FB" w:hAnsi="Agency FB" w:hint="default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3F3"/>
    <w:rsid w:val="00050F78"/>
    <w:rsid w:val="001540C0"/>
    <w:rsid w:val="001A797D"/>
    <w:rsid w:val="001B2AE2"/>
    <w:rsid w:val="0025019F"/>
    <w:rsid w:val="002A2BB6"/>
    <w:rsid w:val="00304BAB"/>
    <w:rsid w:val="003132C2"/>
    <w:rsid w:val="00327209"/>
    <w:rsid w:val="00327AE4"/>
    <w:rsid w:val="003A5F11"/>
    <w:rsid w:val="003B10EB"/>
    <w:rsid w:val="00476E8D"/>
    <w:rsid w:val="004804F5"/>
    <w:rsid w:val="004D33F3"/>
    <w:rsid w:val="004E20D7"/>
    <w:rsid w:val="00595CEF"/>
    <w:rsid w:val="005B1D64"/>
    <w:rsid w:val="005C5557"/>
    <w:rsid w:val="00721810"/>
    <w:rsid w:val="00735BA3"/>
    <w:rsid w:val="0079705C"/>
    <w:rsid w:val="007C6806"/>
    <w:rsid w:val="007F5601"/>
    <w:rsid w:val="007F7DCF"/>
    <w:rsid w:val="008152CC"/>
    <w:rsid w:val="00820339"/>
    <w:rsid w:val="00856499"/>
    <w:rsid w:val="008D3633"/>
    <w:rsid w:val="00902E07"/>
    <w:rsid w:val="00903A24"/>
    <w:rsid w:val="00913559"/>
    <w:rsid w:val="009C14C4"/>
    <w:rsid w:val="00A378FE"/>
    <w:rsid w:val="00AE2A98"/>
    <w:rsid w:val="00BB7CDF"/>
    <w:rsid w:val="00C55C06"/>
    <w:rsid w:val="00C70334"/>
    <w:rsid w:val="00C71CD1"/>
    <w:rsid w:val="00C821BC"/>
    <w:rsid w:val="00CE04EB"/>
    <w:rsid w:val="00D158E1"/>
    <w:rsid w:val="00D34A8F"/>
    <w:rsid w:val="00D71238"/>
    <w:rsid w:val="00D7453B"/>
    <w:rsid w:val="00D95E38"/>
    <w:rsid w:val="00DA3897"/>
    <w:rsid w:val="00DD5290"/>
    <w:rsid w:val="00DF395F"/>
    <w:rsid w:val="00E50139"/>
    <w:rsid w:val="00F03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F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D33F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3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D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3F3"/>
  </w:style>
  <w:style w:type="paragraph" w:styleId="a5">
    <w:name w:val="footer"/>
    <w:basedOn w:val="a"/>
    <w:link w:val="a6"/>
    <w:uiPriority w:val="99"/>
    <w:semiHidden/>
    <w:unhideWhenUsed/>
    <w:rsid w:val="004D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3F3"/>
  </w:style>
  <w:style w:type="character" w:customStyle="1" w:styleId="10">
    <w:name w:val="Заголовок 1 Знак"/>
    <w:basedOn w:val="a0"/>
    <w:link w:val="1"/>
    <w:uiPriority w:val="9"/>
    <w:rsid w:val="004D3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33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D33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4D33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4D33F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F7DCF"/>
    <w:rPr>
      <w:rFonts w:ascii="Cambria" w:eastAsia="Times New Roman" w:hAnsi="Cambria" w:cs="Times New Roman"/>
      <w:b/>
      <w:bCs/>
      <w:color w:val="4F81BD"/>
      <w:sz w:val="32"/>
      <w:lang w:eastAsia="ru-RU"/>
    </w:rPr>
  </w:style>
  <w:style w:type="character" w:styleId="a9">
    <w:name w:val="Hyperlink"/>
    <w:basedOn w:val="a0"/>
    <w:uiPriority w:val="99"/>
    <w:unhideWhenUsed/>
    <w:rsid w:val="007F7DC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C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55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1471</Words>
  <Characters>8389</Characters>
  <Application>Microsoft Office Word</Application>
  <DocSecurity>0</DocSecurity>
  <PresentationFormat>oqd4nc</PresentationFormat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Кодекс этики и служебного поведения</vt:lpstr>
    </vt:vector>
  </TitlesOfParts>
  <Company>ГАУЗ "Мензелинская ЦРБ"</Company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этики и служебного поведения</dc:title>
  <dc:creator>Наиль Мубаракшин</dc:creator>
  <dc:description>Подготовлено на базе материалов БСС «Система Главбух»</dc:description>
  <cp:lastModifiedBy>Admin</cp:lastModifiedBy>
  <cp:revision>4</cp:revision>
  <cp:lastPrinted>2019-03-06T11:03:00Z</cp:lastPrinted>
  <dcterms:created xsi:type="dcterms:W3CDTF">2019-03-06T06:19:00Z</dcterms:created>
  <dcterms:modified xsi:type="dcterms:W3CDTF">2019-03-29T11:41:00Z</dcterms:modified>
</cp:coreProperties>
</file>