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AE" w:rsidRDefault="00605BAE" w:rsidP="00605BAE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45"/>
        </w:rPr>
      </w:pPr>
      <w:r w:rsidRPr="00605BAE">
        <w:rPr>
          <w:rFonts w:ascii="Arial" w:eastAsia="Times New Roman" w:hAnsi="Arial" w:cs="Arial"/>
          <w:color w:val="000000" w:themeColor="text1"/>
          <w:kern w:val="36"/>
          <w:sz w:val="32"/>
          <w:szCs w:val="45"/>
        </w:rPr>
        <w:t>Основные меры государственной поддержки бизнеса и граждан в период пандемии COVID-19</w:t>
      </w:r>
    </w:p>
    <w:p w:rsidR="00605BAE" w:rsidRPr="00605BAE" w:rsidRDefault="00605BAE" w:rsidP="00605BAE">
      <w:pPr>
        <w:spacing w:after="75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45"/>
        </w:rPr>
      </w:pPr>
    </w:p>
    <w:p w:rsidR="00605BAE" w:rsidRP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1"/>
          <w:szCs w:val="23"/>
        </w:rPr>
      </w:pPr>
      <w:r w:rsidRPr="00605BAE">
        <w:rPr>
          <w:rFonts w:ascii="inherit" w:eastAsia="Times New Roman" w:hAnsi="inherit" w:cs="Arial"/>
          <w:color w:val="444444"/>
          <w:sz w:val="21"/>
          <w:szCs w:val="23"/>
        </w:rPr>
        <w:t>Организации и индивидуальные предприниматели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5214"/>
        <w:gridCol w:w="4890"/>
      </w:tblGrid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NN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Мера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Примечание</w:t>
            </w:r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Налоги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4" w:anchor="/document/73849374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Продлены сроки представления налоговой и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бухотчетности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, которые надо было сдать в марте — мае 2020 года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всех организаций и ИП.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5" w:anchor="/document/77398907/entry/1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" w:anchor="/document/73849374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Перенесены сроки уплаты налогов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малого и среднего бизнеса, осуществляющего деятельность в наиболее пострадавших сферах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7" w:anchor="/document/77398907/entry/2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8" w:anchor="/document/73849374/entry/1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Перенесены сроки уплаты страховых взносов, в том числе от НС и ПЗ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Для </w:t>
            </w: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микропредприятий</w:t>
            </w:r>
            <w:proofErr w:type="spell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 и ИП, осуществляющих деятельность в наиболее пострадавших сферах.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9" w:anchor="/document/77398907/entry/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10" w:anchor="/document/73828130/entry/5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Для субъектов МСП введены пониженные тарифы страховых взносов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Введены пониженные тарифы страховых взносов в отношении части выплат в пользу физлиц, определяемой по итогам каждого календарного месяца как превышение над величиной МРОТ на начало года. С выплат, не превышающих МРОТ, тариф остается прежним. Новые тарифы действуют с 1 апреля 2020 года.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11" w:anchor="/document/58077763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5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12" w:anchor="/document/73849374/entry/10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Предоставлено право на отсрочку / рассрочку по налогам и страховых взносам (кроме акцизов и НДПИ) без уплаты процентов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организаций и ИП, осуществляющих деятельность в наиболее пострадавших сферах. Предоставляется по заявлению налогоплательщика, поданному до 1 декабря 2020 года.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13" w:anchor="/document/5807776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Кредиты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14" w:anchor="/document/73841776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Беспроцентные кредиты на выплату зарплат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Для малых и </w:t>
            </w: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микропредприятий</w:t>
            </w:r>
            <w:proofErr w:type="spell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, не менее года </w:t>
            </w:r>
            <w:hyperlink r:id="rId15" w:anchor="/document/73841776/entry/1007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работающих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в определенных отраслях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16" w:anchor="/document/73842090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Кредитные каникулы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субъектов МСП, осуществляющих деятельность в </w:t>
            </w:r>
            <w:hyperlink r:id="rId17" w:anchor="/document/73846630/entry/10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отраслях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, наиболее пострадавших в результате пандемии.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18" w:anchor="/document/77398911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Аренда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19" w:anchor="/multilink/77398919/paragraph/45/number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Отсрочка по уплате арендных платежей по договорам аренды недвижимости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Только для арендаторов из наиболее пострадавших отраслей экономики. Не распространяется на арендаторов жилья. Есть </w:t>
            </w:r>
            <w:hyperlink r:id="rId20" w:anchor="/document/73828134/entry/19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отдельный вариант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для любых арендаторов недвижимости. Подробнее см. </w:t>
            </w:r>
            <w:hyperlink r:id="rId21" w:anchor="/document/77398960/entry/4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здесь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субъектов МСП предусмотрены </w:t>
            </w:r>
            <w:hyperlink r:id="rId22" w:anchor="/document/73775101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дополнительные возможности</w:t>
              </w:r>
            </w:hyperlink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Госзакупки</w:t>
            </w:r>
            <w:proofErr w:type="spellEnd"/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23" w:anchor="/document/70353464/entry/11265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По соглашению сторон допускается изменение срока исполнения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госконтракта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по Закону 44-ФЗ, и (или) цены контракта, и (или) цены единицы товара, работы, услуги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31.12.2020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24" w:anchor="/document/7784904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25" w:anchor="/document/70353464/entry/11264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Снижение требований к обеспечению при участии в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госконтрактах</w:t>
              </w:r>
              <w:proofErr w:type="spellEnd"/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31.12.2020 при закупках у СМП и СОНО можно не устанавливать требование обеспечения исполнения контракта, обеспечения гарантийных обязательств, если контрактом не предусмотрена выплата аванса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26" w:anchor="/document/70353464/entry/11242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Начисленные в 2020 году штрафные санкции по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госконтракту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будут списываться заказчиками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 случаях и в порядке, которые установит Правительство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27" w:anchor="/document/70353464/entry/9319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Упрощена процедура закупки по Закону N 44-ФЗ у единственного поставщика вследствие аварии, ЧС, непреодолимой силы, необходимости оказания медпомощи и гуманитарной помощи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 1 апреля 2020 года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28" w:anchor="/document/77849043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Деятельность АО и ООО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29" w:anchor="/document/73854562/entry/1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Перенесены сроки проведения общих годовых собраний в ООО и АО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Собрания могут быть проведены до 30 сентября 2020 года.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30" w:anchor="/document/5807868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1" w:anchor="/document/73854562/entry/12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Снижение СЧА ООО и АО по итогам 2020 г. не повлечет ликвидацию общества или уменьшение его уставного капитала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Кроме того, сведения о снижении стоимости чистых активов не нужно включать в состав годового отчета АО по итогам за 2020 год, как того требует </w:t>
            </w:r>
            <w:hyperlink r:id="rId32" w:anchor="/document/10105712/entry/3504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п. 4 ст. 35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Закона об АО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3" w:anchor="/document/73759192/entry/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Собрания в АО могут быть заочными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34" w:anchor="/document/5807868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5" w:anchor="/document/73854562/entry/1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 публичных АО продлен срок введения внутреннего аудита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1 января 2021 года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5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6" w:anchor="/document/73854562/entry/7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Публичным АО, которые фактически таковыми не являются, продлили время на раздумья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01.01.2021 продлен переходный период для тех АО, которые были созданы до 01.09.2014, устав и фирменное наименование которых на 01.07.2015 содержали указание, что общество является публичным, но которые фактически публичными не являлись.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37" w:anchor="/document/58078612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lastRenderedPageBreak/>
              <w:t>Трудовые отношения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8" w:anchor="/document/7391334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Работодатели вправе привлекать к работе «визовых» иностранцев без разрешения на работу, а «безвизовых» — без патентов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 15 марта по 15 июня 2020 г. включительно</w:t>
            </w:r>
          </w:p>
        </w:tc>
      </w:tr>
      <w:tr w:rsidR="00605BAE" w:rsidRPr="00605BAE" w:rsidTr="00605BAE">
        <w:tc>
          <w:tcPr>
            <w:tcW w:w="104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Прочие меры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39" w:anchor="/multilink/77398919/paragraph/23/number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Мораторий на проверки в 2020 году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 отношении субъектов МСП запрещены плановые проверки, а внеплановые могут проводиться только по </w:t>
            </w:r>
            <w:hyperlink r:id="rId40" w:anchor="/document/73850816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исключительным поводам. 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Проверки других организаций и ИП существенно </w:t>
            </w:r>
            <w:hyperlink r:id="rId41" w:anchor="/document/73850816/entry/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ограничены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42" w:anchor="/document/73850810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Продлено действие срочных лицензий и иных разрешений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На 12 месяцев продлевается действие </w:t>
            </w:r>
            <w:hyperlink r:id="rId43" w:anchor="/document/73850810/entry/10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некоторых срочных лицензий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и иных разрешений, сроки действия которых истекают в период с 15 марта по 31 декабря 2020 г.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Установлены </w:t>
            </w:r>
            <w:hyperlink r:id="rId44" w:anchor="/document/73850810/entry/30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особенности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применения разрешительных режимов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45" w:anchor="/document/7384242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Введен мораторий на возбуждение дел о банкротстве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Мораторий введен только в отношении </w:t>
            </w:r>
            <w:hyperlink r:id="rId46" w:anchor="/document/73842428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определенных категорий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должников. Период действия моратория — с 6 апреля до 5 октября 2020 г. включительно, может быть продлен.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47" w:anchor="/document/58078683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48" w:anchor="/document/73828134/entry/12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Операторы ТО получили отсрочку введения новых правил техосмотра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Нововведения (</w:t>
            </w: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фотофиксация</w:t>
            </w:r>
            <w:proofErr w:type="spell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 процедуры ТО, оформление преимущественно электронных диагностических карт; введение госконтроля за проведением ТО и т.д.), которые должны были заработать с 08.06.2020, отложены до 1 марта 2021 года. Также скорректированы сроки прохождения операторами ТО процедуры подтверждения соответствия новым требованиям аккредитации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5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49" w:anchor="/document/7385994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Туроператорам из сферы выездного туризма разрешили возвращать туристам деньги за сорванные из-за пандемии поездки за счет средств фонда персональной ответственности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этого туроператор должен направить в Ассоциацию «</w:t>
            </w: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Турпомощь</w:t>
            </w:r>
            <w:proofErr w:type="spell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» уведомление </w:t>
            </w:r>
            <w:hyperlink r:id="rId50" w:anchor="/document/73896064/entry/100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до 06.05.2020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. </w:t>
            </w:r>
            <w:hyperlink r:id="rId51" w:anchor="/document/7386853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Правила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возврата определены Правительством РФ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6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2" w:anchor="/document/73850812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Запрещено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ресурсоснабжающим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организациям взыскивать неустойку с организаций, управляющих МКД, за долги по оплате поставленных им коммунальных ресурсов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01.01.2021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7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3" w:anchor="/document/73841742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Особые правила применения неустойки (штрафа, пени) по ДДУ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</w:rPr>
            </w:pP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8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4" w:anchor="/document/73898596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Срок подачи НКО ежегодной отчетности в Минюст перенесен на 1 июня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Для НКО и общественных объединений — отчет за 2019 год: для структурных подразделений иностранных некоммерческих неправительственных организаций — отчет за 2019 год и отчет за 1 кв. 2020 года</w:t>
            </w:r>
          </w:p>
        </w:tc>
      </w:tr>
    </w:tbl>
    <w:p w:rsidR="00605BAE" w:rsidRP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  <w:r w:rsidRPr="00605BAE">
        <w:rPr>
          <w:rFonts w:ascii="inherit" w:eastAsia="Times New Roman" w:hAnsi="inherit" w:cs="Arial"/>
          <w:color w:val="444444"/>
          <w:sz w:val="23"/>
          <w:szCs w:val="23"/>
        </w:rPr>
        <w:lastRenderedPageBreak/>
        <w:t>Физлица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252"/>
        <w:gridCol w:w="4848"/>
      </w:tblGrid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NN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Мера</w:t>
            </w:r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Примечание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5" w:anchor="/multilink/77398919/paragraph/81/number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Меры поддержки безработных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Увеличен максимальный размер пособия по безработице — 12 130 руб. До конца года действуют временные правила дистанционной регистрации граждан в целях поиска работы и в качестве безработных. Граждане, уволенные и признанные </w:t>
            </w:r>
            <w:proofErr w:type="gram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 безработными</w:t>
            </w:r>
            <w:proofErr w:type="gram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 начиная с 1 марта 2020 года, в апреле — июне получат пособие в максимальном размере. А при наличии у них детей до 18 лет — дополнительно к пособию выплату 3 тыс. руб. на каждого ребенка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6" w:anchor="/multilink/77398919/paragraph/84/number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Выплаты на детей до 3 лет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 апреле-июне 2020 года семьям, имеющим право на материнский капитал, будет производиться ежемесячная выплата в размере 5 тыс. руб. на каждого ребенка в возрасте до 3 лет.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57" w:anchor="/document/77468118/entry/2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8" w:anchor="/document/73849374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Перенесен срок подачи декларации 3-НДФЛ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Представить декларацию надо до 30.06.2020. При этом уплатить налог, исчисленный в декларации, необходимо по-прежнему до 15.07.2020. Камеральные проверки и возврат денег из бюджета осуществляются в прежние сроки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59" w:anchor="/document/73842090/entry/6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Кредитные каникулы, в том числе по ипотечным кредитам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По заявлению, поданному до 30 сентября 2020 года. При соблюдении </w:t>
            </w:r>
            <w:hyperlink r:id="rId60" w:anchor="/document/73842090/entry/6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ряда условий.</w:t>
              </w:r>
            </w:hyperlink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Заключается в приостановлении платежей по кредиту на определенный заемщиком срок, но не более 6 месяцев.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61" w:anchor="/document/77398911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5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2" w:anchor="/document/73869784/entry/100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Заочное освидетельствование для установления инвалидности и продления группы инвалидности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 1 марта до 1 октября 2020 г.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6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3" w:anchor="/document/73841784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Срок предоставления субсидии на оплату жилого помещения и коммунальных услуг продляется автоматически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Если срок предоставления субсидии истекает в период с 1 апреля по 1 октября 2020 г., субсидия предоставляется в том же размере на следующие 6 месяцев в </w:t>
            </w:r>
            <w:proofErr w:type="spellStart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беззаявительном</w:t>
            </w:r>
            <w:proofErr w:type="spellEnd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 xml:space="preserve"> порядке.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64" w:anchor="/document/77468118/entry/3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7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5" w:anchor="/document/73828138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Минимальный размер оплаты больничных временно приравнен к МРОТ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Введенное правило применяется:</w:t>
            </w:r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— для случаев, когда размер пособия в расчете за полный календарный месяц ниже МРОТ;</w:t>
            </w:r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lastRenderedPageBreak/>
              <w:t>— при расчете больничных за периоды с 1 апреля по 31 декабря 2020 года включительно.</w:t>
            </w:r>
          </w:p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См. </w:t>
            </w:r>
            <w:hyperlink r:id="rId66" w:anchor="/document/5807264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подробнее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7" w:anchor="/document/7383067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Выдача листков нетрудоспособности и выплаты пособий по временной нетрудоспособности в случае карантина застрахованным лицам в возрасте 65 лет и старше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Выдаются единовременно:</w:t>
            </w:r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— на 14 календарных дней с 6 по 19 апреля 2020 г.</w:t>
            </w:r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— и на 11 календарных дней с 20 по 30 апреля 2020 г.</w:t>
            </w:r>
          </w:p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Выдача больничных происходит без участия граждан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9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8" w:anchor="/document/73850812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Запрещено ограничивать /приостанавливать (отключать) оказание коммунальных услуг за долги по коммунальным услугам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01.01.2021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10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69" w:anchor="/document/73850812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Мораторий на поверки счетчиков после истечения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межповерочного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интервала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01.01.2021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11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0" w:anchor="/document/73913346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Просроченные паспорта и водительские удостоверения продолжают действовать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Считаются действительными паспорта и в/у, срок действия которых истек в период с 1 февраля по 15 июля 2020 г. включительно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12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1" w:anchor="/document/73919156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Пенсионерам, проживающим за рубежом, будут выплачивать пенсию без документального подтверждения факта нахождения в живых и невыполнения оплачиваемой работы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1 июля 2020 года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13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2" w:anchor="/document/7387015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Стипендии студентам выплачивают на основании представленных ими в электронном виде документов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оригиналы документов необходимо предоставить позднее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14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3" w:anchor="/document/73912650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Можно использовать без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перевыпуска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банковские карты с истекшим сроком действия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до 1 июля 2020 года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15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4" w:anchor="/document/73913348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Приостановлено течение сроков пребывания и проживания иностранных граждан в РФ, а также сроков действия виз, разрешений на временное проживание, видов на жительство, миграционных карт с истекающим сроком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дейтвия</w:t>
              </w:r>
              <w:proofErr w:type="spellEnd"/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с 15 марта по 15 июня 2020 г. включительно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bookmarkStart w:id="0" w:name="_GoBack"/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16</w:t>
            </w:r>
          </w:p>
        </w:tc>
        <w:tc>
          <w:tcPr>
            <w:tcW w:w="5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5" w:anchor="/document/73850812/entry/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Запрещено до 01.01.2021 начислять и взыскивать пени за долги по коммунальным услугам, появившиеся с 06.04.2020 по 01.01.2021</w:t>
              </w:r>
            </w:hyperlink>
          </w:p>
        </w:tc>
        <w:tc>
          <w:tcPr>
            <w:tcW w:w="46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кроме того, до 01.01.2021 запрещено </w:t>
            </w:r>
            <w:hyperlink r:id="rId76" w:anchor="/document/73850812/entry/5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взыскивать</w:t>
              </w:r>
            </w:hyperlink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 «набежавшие» до 06.04.2020 пени за долги по ЖКХ (коммунальные услуги, плата за содержание жилого помещения и взносам за капремонт)</w:t>
            </w:r>
          </w:p>
        </w:tc>
      </w:tr>
      <w:bookmarkEnd w:id="0"/>
    </w:tbl>
    <w:p w:rsid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</w:p>
    <w:p w:rsid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</w:p>
    <w:p w:rsid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</w:p>
    <w:p w:rsid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</w:p>
    <w:p w:rsidR="00605BAE" w:rsidRPr="00605BAE" w:rsidRDefault="00605BAE" w:rsidP="00605BA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Arial"/>
          <w:color w:val="444444"/>
          <w:sz w:val="23"/>
          <w:szCs w:val="23"/>
        </w:rPr>
      </w:pPr>
      <w:r w:rsidRPr="00605BAE">
        <w:rPr>
          <w:rFonts w:ascii="inherit" w:eastAsia="Times New Roman" w:hAnsi="inherit" w:cs="Arial"/>
          <w:color w:val="444444"/>
          <w:sz w:val="23"/>
          <w:szCs w:val="23"/>
        </w:rPr>
        <w:lastRenderedPageBreak/>
        <w:t>Медработники и медучреждения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0104"/>
      </w:tblGrid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NN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Мера</w:t>
            </w:r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1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7" w:anchor="/document/73881214/entry/101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Предусмотрены стимулирующие выплаты медицинским и иным работникам, непосредственно работающим с пациентами, зараженными COVID-19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2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8" w:anchor="/document/73901854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Действие сертификатов, сроки которых истекают в период с 15 марта по 31 декабря 2020 г., продлевается на 12 месяцев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3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79" w:anchor="/document/73929695/entry/2170081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Освобождены от НДФЛ выплаты за особые условия труда и дополнительную нагрузку медработникам, оказывающим медпомощь пациентам с COVID-19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4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80" w:anchor="/document/12180688/entry/1521" w:history="1"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Медорганизации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могут включиться в реестр </w:t>
              </w:r>
              <w:proofErr w:type="spellStart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медорганизаций</w:t>
              </w:r>
              <w:proofErr w:type="spellEnd"/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 xml:space="preserve"> ОМС в специальный срок, установленный губернатором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5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81" w:anchor="/document/73886507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В системе ОМС вводится авансирование до конца года</w:t>
              </w:r>
            </w:hyperlink>
          </w:p>
        </w:tc>
      </w:tr>
      <w:tr w:rsidR="00605BAE" w:rsidRPr="00605BAE" w:rsidTr="00605BAE"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r w:rsidRPr="00605BAE">
              <w:rPr>
                <w:rFonts w:ascii="inherit" w:eastAsia="Times New Roman" w:hAnsi="inherit" w:cs="Times New Roman"/>
                <w:sz w:val="23"/>
                <w:szCs w:val="23"/>
              </w:rPr>
              <w:t>6</w:t>
            </w:r>
          </w:p>
        </w:tc>
        <w:tc>
          <w:tcPr>
            <w:tcW w:w="98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605BAE" w:rsidRPr="00605BAE" w:rsidRDefault="00605BAE" w:rsidP="00605BA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</w:rPr>
            </w:pPr>
            <w:hyperlink r:id="rId82" w:anchor="/document/73868536/entry/0" w:history="1">
              <w:r w:rsidRPr="00605BAE">
                <w:rPr>
                  <w:rFonts w:ascii="inherit" w:eastAsia="Times New Roman" w:hAnsi="inherit" w:cs="Times New Roman"/>
                  <w:color w:val="04A3ED"/>
                  <w:sz w:val="23"/>
                  <w:szCs w:val="23"/>
                  <w:u w:val="single"/>
                  <w:bdr w:val="none" w:sz="0" w:space="0" w:color="auto" w:frame="1"/>
                </w:rPr>
                <w:t>Гранты частным клиникам на оказание медико-социальных услуг пожилым гражданам</w:t>
              </w:r>
            </w:hyperlink>
          </w:p>
        </w:tc>
      </w:tr>
    </w:tbl>
    <w:p w:rsidR="00E3059C" w:rsidRDefault="00E3059C"/>
    <w:sectPr w:rsidR="00E3059C" w:rsidSect="00605B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AE"/>
    <w:rsid w:val="00605BAE"/>
    <w:rsid w:val="00E3059C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1DA3"/>
  <w15:chartTrackingRefBased/>
  <w15:docId w15:val="{952CDA86-FAB3-47C4-9757-CE672DDD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5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2020-05-22T06:43:00Z</dcterms:created>
  <dcterms:modified xsi:type="dcterms:W3CDTF">2020-05-22T10:21:00Z</dcterms:modified>
</cp:coreProperties>
</file>