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48" w:rsidRPr="00BE76BF" w:rsidRDefault="00AD2B48" w:rsidP="00BE76BF">
      <w:pPr>
        <w:tabs>
          <w:tab w:val="left" w:pos="3402"/>
        </w:tabs>
        <w:spacing w:before="100" w:beforeAutospacing="1" w:after="100" w:afterAutospacing="1"/>
        <w:ind w:left="-567" w:right="-143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Профилактика остеопороза. </w:t>
      </w:r>
    </w:p>
    <w:p w:rsidR="00AD2B48" w:rsidRPr="00AD2B48" w:rsidRDefault="00BE76BF" w:rsidP="00BE76BF">
      <w:pPr>
        <w:tabs>
          <w:tab w:val="left" w:pos="3402"/>
        </w:tabs>
        <w:spacing w:before="100" w:beforeAutospacing="1" w:after="100" w:afterAutospacing="1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438785</wp:posOffset>
            </wp:positionV>
            <wp:extent cx="2669540" cy="1969770"/>
            <wp:effectExtent l="19050" t="0" r="0" b="0"/>
            <wp:wrapSquare wrapText="bothSides"/>
            <wp:docPr id="1" name="Рисунок 1" descr="osteoporoz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oporoz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B48" w:rsidRPr="00BE76BF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Остеопоро́з </w:t>
      </w:r>
      <w:r w:rsidR="00AD2B48" w:rsidRPr="00BE76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(лат. osteoporosis )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системное метаболическое заболевание скелета, характеризующееся уменьшением массы кости в единице объема и нарушением микроархитектоники костной ткани, приводящими к высокому риску переломов или деформации костей.</w:t>
      </w:r>
    </w:p>
    <w:p w:rsidR="00AD2B48" w:rsidRPr="00AD2B48" w:rsidRDefault="00AD2B48" w:rsidP="00BE76BF">
      <w:pPr>
        <w:tabs>
          <w:tab w:val="left" w:pos="3402"/>
        </w:tabs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Остеопороз поражает весь скелет, но особенно кости 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бедра, предплечья и позвонки. Даже слабый удар (например, при падении на улице) может привести к перелому. Более того, в случае позвонков компрессионные переломы могут иметь место даже в отсутствие внешнего воздействия — в результате нагрузки, создаваемой собственной тяжестью тела. Такого рода повреждения, а также уплощение хрящевых межпозвонковых дисков из-за утраты ими упругости служат причиной того, что в старости человек «растёт вниз», а его осанка портится, что вызывает дополнительные нарушения функции пищеварительной и дыхательной систем. Остеопороз поражает также суставы, несущие тяжесть тела (особенно тазобедренный и коленный), но и все прочие обычно становятся тугоподвижными и болезненными. Остеопороз развивается при недостатке кальция у молодых людей, но особенно часто остеопороз встречается у пожилых. Особенно он распространён у пожилых женщин: после 60 лет им страдает каждая четвёртая. У женщин в климактерическом периоде снижение уровня эстрогена (женского гормона) ускоряет потерю костной ткани и тормозит усвоение кальция и образование новой кости. Последние исследования показали, что у мужчин остеопороз развивается ничуть не реже, чем у женщин.</w:t>
      </w:r>
    </w:p>
    <w:p w:rsidR="00AD2B48" w:rsidRDefault="00AD2B48" w:rsidP="00BE76BF">
      <w:pPr>
        <w:spacing w:before="100" w:beforeAutospacing="1" w:after="0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Факторы, повышающие риск развития остеопороза.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семейный анамнез (наличие переломов шейки бедра у родственников);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сигарет, особенно у женщин в период менопаузы;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хрупкое телосложение (индекс массы тела меньше 23) или снижение его более чем на 10% вследствие заболевания;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употребление алкоголя (20мл водки, 100мл вина или 300мл пива ежедневно). В связи с изменениями в печени, повышенным выделением кальция с мочой, а также возможной чрезмерной продукцией гормонов коры надпочечников теряются важные для скелета минералы, аминокислоты, витамин D;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потребление кофеина (ухудшается всасывание кальция и его сохранение в костях);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светлая кожа;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ранняя менопауза, в том числе хирургическая менопауза (удаление яичников);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малоподвижный образ жизни или снижение физической активности вследствие ожирения или заболеваний легких, сопровождающихся одышкой и мышечной слабостью. Учитывается также склонность к падениям вследствие немощности, нарушений равновесия, снижения остроты зрения;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лекарственные препараты (кортикостероиды, левотироксин, противосудорожные средства, гепарин). Кортикостероиды в дозах, превышающих физиологические, непосредственно угнетают образование костной ткани и косвенным образом увеличивают остеопороз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6BF" w:rsidRDefault="00BE76BF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BE76BF" w:rsidRDefault="00BE76BF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BE76BF" w:rsidRDefault="00BE76BF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BE76BF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lastRenderedPageBreak/>
        <w:t>Симптомы.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остеопороза характерно бессимптомное течение в первые 10-15 лет. Возможны жалобы на боли в костях вследствие уже случившегося перелома кости (особенно в поясничном и грудном отделах позвоночника), медленное уменьшение роста, изменение осанки, ограничение двигательной активности, потерю массы тела.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Наибольшая роль в формировании и поддержании костной массы признается за кальцием. Повышенное потребление кальция в подростковом возрасте способствует достижению более высокой пиковой костной массы и профилактике будущих переломов, а в пожилом возрасте он помогает сохранить целостность костной ткани — резервуар, из которого макроэлемент может быть использован для поддержания уровня его во внеклеточных жидкостях. Дефицит кальция обусловленный особенностями питания, снижением всасывания его в кишечнике или недостатком витамина D. Достаточное поступление кальция с пищей считается важной составляющей любой схемы профилактики и лечения остеопороза. При этом рекомендуется принимать любые препараты кальция в составе пищевых продуктов, в том числе и кальций содержащие продукты на ночь, что обуславливается циркадным ритмом резорбции кости. Предпочтительнее естественный путь поступления кальция в составе пищевых продуктов. Продукты полезные при остеопорозе, наиболее богаты кальцием - молочные продукты (молоко, творог, сыр и др.), сухофрукты (курага и чернослив), орехи и бобовые, овощи (капуста брокколи, сельдерей, лук, оливки, шпинат) и рыба (консервированная или вяленая). </w:t>
      </w:r>
    </w:p>
    <w:p w:rsidR="00AD2B48" w:rsidRPr="00BE76BF" w:rsidRDefault="00AD2B48" w:rsidP="00BE76BF">
      <w:pPr>
        <w:spacing w:before="100" w:beforeAutospacing="1" w:after="0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Суточная потребность в кальци</w:t>
      </w:r>
      <w:r w:rsid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е</w:t>
      </w:r>
      <w:r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:</w:t>
      </w:r>
    </w:p>
    <w:p w:rsidR="00AD2B48" w:rsidRPr="00AD2B48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-408305</wp:posOffset>
            </wp:positionH>
            <wp:positionV relativeFrom="margin">
              <wp:posOffset>4423410</wp:posOffset>
            </wp:positionV>
            <wp:extent cx="3076575" cy="2231390"/>
            <wp:effectExtent l="19050" t="0" r="9525" b="0"/>
            <wp:wrapSquare wrapText="bothSides"/>
            <wp:docPr id="4" name="Рисунок 4" descr="http://xn--b1aaffh7bap4i.xn--p1ai/wp-content/uploads/2016/04/produkty-bogatye-kaltsi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b1aaffh7bap4i.xn--p1ai/wp-content/uploads/2016/04/produkty-bogatye-kaltsi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38" t="7668" r="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юноши и девушки до 25 лет — 1200-1500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мг/сут.;</w:t>
      </w:r>
    </w:p>
    <w:p w:rsidR="00AD2B48" w:rsidRPr="00AD2B48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мужчины и женщины 25-30 лет — 1000 мг/сут.;</w:t>
      </w:r>
    </w:p>
    <w:p w:rsidR="00BE76BF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женщины в период беременности и лактации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B48" w:rsidRPr="00AD2B48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1900 мг/сут.;</w:t>
      </w:r>
    </w:p>
    <w:p w:rsidR="00AD2B48" w:rsidRPr="00AD2B48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женщины в постменопаузе — 1500 мг/сут.;</w:t>
      </w:r>
    </w:p>
    <w:p w:rsidR="00BE76BF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женщины, принимающие эстрогены 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</w:p>
    <w:p w:rsidR="00AD2B48" w:rsidRPr="00AD2B48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мг/сут.;</w:t>
      </w:r>
    </w:p>
    <w:p w:rsidR="00BE76BF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мужчины и женщины старше 65 лет 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</w:p>
    <w:p w:rsidR="00AD2B48" w:rsidRPr="00AD2B48" w:rsidRDefault="00BE76BF" w:rsidP="00BE76BF">
      <w:pPr>
        <w:tabs>
          <w:tab w:val="left" w:pos="3402"/>
          <w:tab w:val="left" w:pos="3686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1500 мг/сут.</w:t>
      </w:r>
    </w:p>
    <w:p w:rsidR="00BE76BF" w:rsidRDefault="00BE76BF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состояниям, повышающим потребность организма в солях кальция, относят беременность, кормление грудью, а также ряд хронических заболеваний (ревматоидный артрит, саркоидоз, цирроз печени, лейкоз, сахарный диабет, вибрационная болезнь).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кальция, в формировании и поддержании костной массы участвуют такие микроэлементы, как магний, медь, марганец. Магний необходим для активации биохимических реакций при формировании кости.  Медь имеет существенное значение для обмена веществ в соединительной и костной тканях. Марганец важен для образования костной ткани, он входит в состав ферментов, необходимых для обмена веществ в хряще и соединительной ткани.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D (в форме активных метаболитов) принимает непосредственное участие в регуляции процессов ремоделирования кости, всасывания кальция в кишечнике и экскреции его почками.</w:t>
      </w:r>
    </w:p>
    <w:p w:rsidR="00AD2B48" w:rsidRPr="00BE76BF" w:rsidRDefault="00AD2B48" w:rsidP="00BE76BF">
      <w:pPr>
        <w:tabs>
          <w:tab w:val="left" w:pos="5331"/>
        </w:tabs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lastRenderedPageBreak/>
        <w:t>Профилактика остеопороза.</w:t>
      </w:r>
      <w:r w:rsidR="00BE76BF"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ab/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начатая активная профилактика, охватывающая значительную часть популяции, может существенно повлиять на распространенность, прогрессирование и исходы заболевания. Чаще всего под профилактикой остеопороза понимают профилактику переломов, которые ведут к преждевременной смерти либо утрате трудоспособности, ограничению самообслуживания и ухудшению качества жизни в целом. Поскольку главным фактором защиты от переломов является сохранная минеральная плотность костной ткани (МПКТ), профилактика ее потери служит основным механизмом снижения риска переломов. 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профилактика остеопороза направлена на создание и поддержку прочности скелета в разные периоды жизни человека, но особенно в период интенсивного роста и формирования пика костной массы, во время беременности и кормления грудным молоком, а также в периоды пери и постменопаузы. Вторичная профилактика направлена на предупреждение переломов при уже развившемся остеопорозе</w:t>
      </w:r>
    </w:p>
    <w:p w:rsidR="00AD2B48" w:rsidRPr="00BE76BF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Огромную роль в деле профилактики остеопороза играет: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от таких вредных привычек (курение и злоупотребление алкоголем);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активность и достаточная нагрузка на все кости скелета является одним из основных и очень эффективных методов предупреждения снижения плотности костной ткани (остеопении), плотность костной ткани напрямую зависит от физической нагрузки на кости;</w:t>
      </w:r>
    </w:p>
    <w:p w:rsidR="00AD2B48" w:rsidRPr="00AD2B48" w:rsidRDefault="00AD2B48" w:rsidP="00BE76BF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эффективным средством профилактики остеопороза являются подвижные игры и прогулки на свежем воздухе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предупреждение падений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Очень полезно 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для улучше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равновесия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6BF"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подниматься на свой этаж по лестнице, а не на лифте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зрением и слухом, ре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гулярно посеща</w:t>
      </w:r>
      <w:r w:rsid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BE76BF"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окулиста и ЛОР-врача</w:t>
      </w: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2B48" w:rsidRPr="00AD2B48" w:rsidRDefault="00AD2B48" w:rsidP="00BE76BF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 гигиены питания (рациональное и сбалансированное питание является необходимым фактором для нормального функционирования пищеварительной системы, полноценного обмена веществ и укрепления иммунитета). Недостаточное потребление белковой пищи в детстве может привести к задержке роста и снижению образования кортикальной кости. Кроме того, адекватное поступление белка важно для поддержания или снижения потери костной массы у людей пожилого возраста. Основной же причиной остеопороза является нарушение обменных и гормональных процессов в организме. Доказано, что у женщин, с рождением каждого последующего ребенка, вероятность развития остеопороза снижается примерно на 10-15%. Это связано с тем, что во время беременности организм будущей матери интенсивно "обновляется".</w:t>
      </w:r>
    </w:p>
    <w:p w:rsidR="00BE76BF" w:rsidRPr="00BE76BF" w:rsidRDefault="00BE76BF" w:rsidP="00BE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7634605</wp:posOffset>
            </wp:positionV>
            <wp:extent cx="2919730" cy="1940560"/>
            <wp:effectExtent l="19050" t="0" r="0" b="0"/>
            <wp:wrapSquare wrapText="bothSides"/>
            <wp:docPr id="3" name="Рисунок 7" descr="ЗОЖ В ПОЖИЛОМ ВОЗРАСТЕ: ЕСТЬ ЛИ СМЫСЛ МЕНЯТЬСЯ? – СПБГБУЗ ГП №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ОЖ В ПОЖИЛОМ ВОЗРАСТЕ: ЕСТЬ ЛИ СМЫСЛ МЕНЯТЬСЯ? – СПБГБУЗ ГП №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6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6BF" w:rsidRPr="00BE76BF" w:rsidRDefault="00BE76BF" w:rsidP="00BE76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ЗДОРОВЫЙ ОБРАЗ ЖИЗНИ</w:t>
      </w:r>
    </w:p>
    <w:p w:rsidR="00BE76BF" w:rsidRPr="00BE76BF" w:rsidRDefault="00BE76BF" w:rsidP="00BE76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E76B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ЗАЛОГ ВАШЕГО ЗДОРОВЬЯ И ДОЛГОЛЕТИЯ!</w:t>
      </w:r>
    </w:p>
    <w:p w:rsidR="00AD2B48" w:rsidRPr="00AD2B48" w:rsidRDefault="00AD2B48" w:rsidP="00BE76BF">
      <w:pPr>
        <w:spacing w:before="100" w:beforeAutospacing="1" w:after="100" w:afterAutospacing="1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6B6C" w:rsidRDefault="00B96B6C" w:rsidP="00BE76BF">
      <w:pPr>
        <w:ind w:left="-567"/>
        <w:jc w:val="both"/>
      </w:pPr>
    </w:p>
    <w:sectPr w:rsidR="00B96B6C" w:rsidSect="00BE76B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3C8E"/>
    <w:multiLevelType w:val="multilevel"/>
    <w:tmpl w:val="460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AD2B48"/>
    <w:rsid w:val="00183115"/>
    <w:rsid w:val="005A211D"/>
    <w:rsid w:val="00AD2B48"/>
    <w:rsid w:val="00B96B6C"/>
    <w:rsid w:val="00BE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paragraph" w:styleId="1">
    <w:name w:val="heading 1"/>
    <w:basedOn w:val="a"/>
    <w:link w:val="10"/>
    <w:uiPriority w:val="9"/>
    <w:qFormat/>
    <w:rsid w:val="00AD2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B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AD2B48"/>
  </w:style>
  <w:style w:type="paragraph" w:customStyle="1" w:styleId="rtejustify">
    <w:name w:val="rtejustify"/>
    <w:basedOn w:val="a"/>
    <w:rsid w:val="00AD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D2B48"/>
    <w:rPr>
      <w:i/>
      <w:iCs/>
    </w:rPr>
  </w:style>
  <w:style w:type="character" w:styleId="a4">
    <w:name w:val="Strong"/>
    <w:basedOn w:val="a0"/>
    <w:uiPriority w:val="22"/>
    <w:qFormat/>
    <w:rsid w:val="00AD2B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B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E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81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1CD10-4E11-4424-B6AB-53CF19E7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2022-10-05T03:42:00Z</dcterms:created>
  <dcterms:modified xsi:type="dcterms:W3CDTF">2022-10-05T04:27:00Z</dcterms:modified>
</cp:coreProperties>
</file>