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3B" w:rsidRDefault="00145EDB">
      <w:pPr>
        <w:pStyle w:val="30"/>
        <w:numPr>
          <w:ilvl w:val="0"/>
          <w:numId w:val="2"/>
        </w:numPr>
        <w:shd w:val="clear" w:color="auto" w:fill="auto"/>
        <w:tabs>
          <w:tab w:val="left" w:pos="1028"/>
        </w:tabs>
      </w:pPr>
      <w:bookmarkStart w:id="0" w:name="_GoBack"/>
      <w:bookmarkEnd w:id="0"/>
      <w:r>
        <w:t>Предоставление первичной медико-санитарной медицинской помощи в а</w:t>
      </w:r>
      <w:r>
        <w:t>мбулаторных условиях, в том числе при вызове медицинского работника на дом, и условиях дневного стационара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line="308" w:lineRule="exact"/>
        <w:ind w:firstLine="760"/>
      </w:pPr>
      <w:r>
        <w:t xml:space="preserve">Первичная медико-санитарная медицинская помощь оказывается в плановой и неотложной форме, преимущественно по территориально-участковому принципу, за </w:t>
      </w:r>
      <w:r>
        <w:t>исключением медицинской помощи в консультативных поликлиниках, специализированных поликлиниках и диспансерах.</w:t>
      </w:r>
    </w:p>
    <w:p w:rsidR="0022053B" w:rsidRDefault="00145EDB">
      <w:pPr>
        <w:pStyle w:val="20"/>
        <w:shd w:val="clear" w:color="auto" w:fill="auto"/>
        <w:spacing w:line="308" w:lineRule="exact"/>
        <w:ind w:firstLine="760"/>
      </w:pPr>
      <w:r>
        <w:t>Для получения первичной медико-санитарной помощи по Территориальной программе ОМС гражданин выбирает медицинскую организацию не чаще одного раза в</w:t>
      </w:r>
      <w:r>
        <w:t xml:space="preserve"> год (за исключением случаев изменения места жительства или места пребывания гражданина) в порядке, установленном приказом Министерства здравоохранения и социального развития Российской Федерации от 26 апреля 2012 г. № 406н «Об утверждении Порядка выбора г</w:t>
      </w:r>
      <w:r>
        <w:t>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 Медицинская организация, оказывающая первичную медико-санитарную помощь по территориально</w:t>
      </w:r>
      <w:r>
        <w:t>-участковому принципу, не вправе отказать гражданину в прикреплении по месту фактического проживания гражданина.</w:t>
      </w:r>
    </w:p>
    <w:p w:rsidR="0022053B" w:rsidRDefault="00145EDB">
      <w:pPr>
        <w:pStyle w:val="20"/>
        <w:shd w:val="clear" w:color="auto" w:fill="auto"/>
        <w:spacing w:line="308" w:lineRule="exact"/>
        <w:ind w:firstLine="760"/>
      </w:pPr>
      <w:r>
        <w:t>Выбор медицинской организации гражданами, проживающими за пределами Республики Татарстан, осуществляется в порядке, утвержденном приказом Минис</w:t>
      </w:r>
      <w:r>
        <w:t>терства здравоохранения Российской Федерации от 21 декабря 2012 года № 1342н «Об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</w:t>
      </w:r>
      <w:r>
        <w:t>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помощи».</w:t>
      </w:r>
    </w:p>
    <w:p w:rsidR="0022053B" w:rsidRDefault="00145EDB">
      <w:pPr>
        <w:pStyle w:val="20"/>
        <w:shd w:val="clear" w:color="auto" w:fill="auto"/>
        <w:spacing w:line="308" w:lineRule="exact"/>
        <w:ind w:firstLine="760"/>
      </w:pPr>
      <w:r>
        <w:t xml:space="preserve">Учет регистрации застрахованных лиц в медицинских организациях, осуществляющих деятельность в сфере </w:t>
      </w:r>
      <w:r>
        <w:t>ОМС на территории Республики Татарстан, осуществляется в порядке, установленном приказом Министерства здравоохранения Республики Татарстан.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214"/>
        </w:tabs>
        <w:spacing w:line="308" w:lineRule="exact"/>
        <w:ind w:firstLine="760"/>
      </w:pPr>
      <w:r>
        <w:t>Первичная доврачебная и первичная врачебная медико-санитарная помощь организуются по территориально-участковому прин</w:t>
      </w:r>
      <w:r>
        <w:t>ципу.</w:t>
      </w:r>
    </w:p>
    <w:p w:rsidR="0022053B" w:rsidRDefault="00145EDB">
      <w:pPr>
        <w:pStyle w:val="20"/>
        <w:shd w:val="clear" w:color="auto" w:fill="auto"/>
        <w:spacing w:line="308" w:lineRule="exact"/>
        <w:ind w:firstLine="760"/>
      </w:pPr>
      <w:r>
        <w:t>Распределение населения по участкам осуществляется руководителями медицинских организаций, оказывающих первичную медико-санитарную помощь, с учетом установленной нормативной численности прикрепленного населения и в зависимости от конкретных условий о</w:t>
      </w:r>
      <w:r>
        <w:t>казания первичной медико-санитарной помощи населению в целях максимального обеспечения ее доступности и соблюдения иных прав граждан.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line="319" w:lineRule="exact"/>
        <w:ind w:firstLine="760"/>
      </w:pPr>
      <w:r>
        <w:t xml:space="preserve">Первичная медико-санитарная помощь организуется и оказывается в соответствии с порядками оказания медицинской помощи (по </w:t>
      </w:r>
      <w:r>
        <w:t>профилям), на основе стандартов медицинской помощи, утвержденных Министерством здравоохранения Российской Федерации, в соответствии с клиническими рекомендациями и руководствами, другими нормативными правовыми документами.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line="319" w:lineRule="exact"/>
        <w:ind w:firstLine="760"/>
      </w:pPr>
      <w:r>
        <w:t>При выборе врача и медицинской ор</w:t>
      </w:r>
      <w:r>
        <w:t>ганизации для получения первичной медико-санитарной помощи гражданин (его законный представитель) дает информированное добровольное согласие на медицинские вмешательства, перечень которых установлен приказом Министерства здравоохранения и социального разви</w:t>
      </w:r>
      <w:r>
        <w:t xml:space="preserve">тия Российской Федерации от 23 апреля 2012 г. № 390н «Об утверждении перечня </w:t>
      </w:r>
      <w:r>
        <w:lastRenderedPageBreak/>
        <w:t>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</w:t>
      </w:r>
      <w:r>
        <w:t>ко-санитарной помощи».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</w:t>
      </w:r>
      <w:r>
        <w:t>цинское вмешательство и форма отказа от медицинского вмешательства утверждены приказом Министерства здравоохранения Российской Федерации от 20 декабря 2012 г. № 1177н «Об утверждении Порядка дачи информированного добровольного согласия на медицинское вмеша</w:t>
      </w:r>
      <w:r>
        <w:t>тельство и отказа от медицинского вмешательства в отношении определенных видов медицинских вмешательств, форм информиро</w:t>
      </w:r>
      <w:r>
        <w:softHyphen/>
        <w:t>ванного добровольного согласия на медицинское вмешательство и форм отказа от медицинского вмешательства».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232"/>
        </w:tabs>
        <w:spacing w:line="319" w:lineRule="exact"/>
        <w:ind w:firstLine="760"/>
      </w:pPr>
      <w:r>
        <w:t>При обращении за медицинской п</w:t>
      </w:r>
      <w:r>
        <w:t>омощью по Территориальной программе ОМС гражданин обязан предъявить полис ОМС и паспорт или иной документ, удостоверяющий личность, за исключением случаев оказания экстренной медицин</w:t>
      </w:r>
      <w:r>
        <w:softHyphen/>
        <w:t>ской помощи.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line="319" w:lineRule="exact"/>
        <w:ind w:firstLine="760"/>
      </w:pPr>
      <w:r>
        <w:t>Оказание медицинской помощи на дому предусматривает обслужив</w:t>
      </w:r>
      <w:r>
        <w:t>ание вызова врачом-терапевтом участковым, врачом-педиатром участковым, врачом общей практики (семейным врачом) в день приема (вызова), проведение консультаций врачами-специалистами по назначению врача-терапевта участкового, врача-педиатра участкового, врач</w:t>
      </w:r>
      <w:r>
        <w:t>а общей практики (семейного врача).</w:t>
      </w:r>
    </w:p>
    <w:p w:rsidR="0022053B" w:rsidRDefault="00145EDB">
      <w:pPr>
        <w:pStyle w:val="20"/>
        <w:shd w:val="clear" w:color="auto" w:fill="auto"/>
        <w:spacing w:line="319" w:lineRule="exact"/>
        <w:ind w:firstLine="760"/>
      </w:pPr>
      <w:r>
        <w:t>Медицинская помощь на дому оказывается при острых заболеваниях, сопровождающихся ухудшением состояния здоровья, состояниях, представляющих эпидемиологическую опасность для окружающих, хронических заболеваниях в стадии об</w:t>
      </w:r>
      <w:r>
        <w:t>острения, заболеваниях женщин во время беременности и после родов, осуществлении патронажа родильниц и детей первого года жизни (в том числе новорожденных) в установленном порядке, при невозможности (ограниченности) пациентов к самостоятельному обращению (</w:t>
      </w:r>
      <w:r>
        <w:t>передвижению).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271"/>
        </w:tabs>
        <w:ind w:firstLine="740"/>
      </w:pPr>
      <w:r>
        <w:t xml:space="preserve">Первичная медико-санитарная помощь в неотложной форме может оказываться амбулаторно в поликлинике и на дому при вызове медицинского работника в качестве первичной доврачебной медико-санитарной помощи, а также первичной врачебной и первичной </w:t>
      </w:r>
      <w:r>
        <w:t>специализированной медико-санитарной помощи.</w:t>
      </w:r>
    </w:p>
    <w:p w:rsidR="0022053B" w:rsidRDefault="00145EDB">
      <w:pPr>
        <w:pStyle w:val="20"/>
        <w:shd w:val="clear" w:color="auto" w:fill="auto"/>
        <w:ind w:firstLine="740"/>
      </w:pPr>
      <w:r>
        <w:t>Неотложная медицинская помощь на дому осуществляется в течение не более двух часов после поступления обращения больного или иного лица об оказании медицинской помощи на дому.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271"/>
        </w:tabs>
        <w:ind w:firstLine="740"/>
      </w:pPr>
      <w:r>
        <w:t>Неотложная медицинская помощь лицам,</w:t>
      </w:r>
      <w:r>
        <w:t xml:space="preserve"> обратившимся в медицин</w:t>
      </w:r>
      <w:r>
        <w:softHyphen/>
        <w:t>скую организацию с признаками неотложных состояний, оказывается не позднее двух часов с момента обращения в регистратуру медицинской организации.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271"/>
        </w:tabs>
        <w:ind w:firstLine="740"/>
      </w:pPr>
      <w:r>
        <w:t>Организация оказания первичной медико-санитарной помощи в неотлож</w:t>
      </w:r>
      <w:r>
        <w:softHyphen/>
        <w:t>ной форме, в том чис</w:t>
      </w:r>
      <w:r>
        <w:t>ле на дому при вызове медицинского работника, гражданам, которые выбрали медицинскую организацию для получения первичной медико- санитарной помощи в рамках Территориальной программы ОМС не по террито</w:t>
      </w:r>
      <w:r>
        <w:softHyphen/>
        <w:t>риально-участковому принципу, устанавливается Министерст</w:t>
      </w:r>
      <w:r>
        <w:t>вом здравоохранения Республики Татарстан.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354"/>
        </w:tabs>
        <w:ind w:firstLine="740"/>
      </w:pPr>
      <w:r>
        <w:t>Отдельные функции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 руководителем мед</w:t>
      </w:r>
      <w:r>
        <w:t xml:space="preserve">ицинской </w:t>
      </w:r>
      <w:r>
        <w:lastRenderedPageBreak/>
        <w:t>организации, могут быть в установленном законодательством порядке возложены на фельдшера или акушерку.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354"/>
        </w:tabs>
        <w:ind w:firstLine="740"/>
      </w:pPr>
      <w:r>
        <w:t>Предварительная запись на прием к врачу-терапевту участковому, врачу- педиатру участковому, врачу общей практики (семейному врачу) для получения</w:t>
      </w:r>
      <w:r>
        <w:t xml:space="preserve"> первичной медико-санитарной помощи в плановой форме осуществляется посред</w:t>
      </w:r>
      <w:r>
        <w:softHyphen/>
        <w:t xml:space="preserve">ством самостоятельной записи через Портал государственных и муниципальных услуг Республики Татарстан </w:t>
      </w:r>
      <w:r w:rsidRPr="00145EDB">
        <w:rPr>
          <w:lang w:eastAsia="en-US" w:bidi="en-US"/>
        </w:rPr>
        <w:t>(</w:t>
      </w:r>
      <w:hyperlink r:id="rId7" w:history="1">
        <w:r>
          <w:rPr>
            <w:rStyle w:val="21"/>
          </w:rPr>
          <w:t>http</w:t>
        </w:r>
        <w:r w:rsidRPr="00145EDB">
          <w:rPr>
            <w:rStyle w:val="21"/>
            <w:lang w:val="ru-RU"/>
          </w:rPr>
          <w:t>://</w:t>
        </w:r>
        <w:r>
          <w:rPr>
            <w:rStyle w:val="21"/>
          </w:rPr>
          <w:t>uslugi</w:t>
        </w:r>
        <w:r w:rsidRPr="00145EDB">
          <w:rPr>
            <w:rStyle w:val="21"/>
            <w:lang w:val="ru-RU"/>
          </w:rPr>
          <w:t>.</w:t>
        </w:r>
        <w:r>
          <w:rPr>
            <w:rStyle w:val="21"/>
          </w:rPr>
          <w:t>tatar</w:t>
        </w:r>
        <w:r w:rsidRPr="00145EDB">
          <w:rPr>
            <w:rStyle w:val="21"/>
            <w:lang w:val="ru-RU"/>
          </w:rPr>
          <w:t>.</w:t>
        </w:r>
        <w:r>
          <w:rPr>
            <w:rStyle w:val="21"/>
          </w:rPr>
          <w:t>ru</w:t>
        </w:r>
        <w:r w:rsidRPr="00145EDB">
          <w:rPr>
            <w:rStyle w:val="21"/>
            <w:lang w:val="ru-RU"/>
          </w:rPr>
          <w:t>/</w:t>
        </w:r>
      </w:hyperlink>
      <w:r w:rsidRPr="00145EDB">
        <w:rPr>
          <w:lang w:eastAsia="en-US" w:bidi="en-US"/>
        </w:rPr>
        <w:t xml:space="preserve">). </w:t>
      </w:r>
      <w:r>
        <w:t>Единый портал г</w:t>
      </w:r>
      <w:r>
        <w:t xml:space="preserve">осударственных и муниципальных услуг (функций) </w:t>
      </w:r>
      <w:r w:rsidRPr="00145EDB">
        <w:rPr>
          <w:lang w:eastAsia="en-US" w:bidi="en-US"/>
        </w:rPr>
        <w:t>(</w:t>
      </w:r>
      <w:hyperlink r:id="rId8" w:history="1">
        <w:r>
          <w:rPr>
            <w:rStyle w:val="21"/>
          </w:rPr>
          <w:t>http</w:t>
        </w:r>
        <w:r w:rsidRPr="00145EDB">
          <w:rPr>
            <w:rStyle w:val="21"/>
            <w:lang w:val="ru-RU"/>
          </w:rPr>
          <w:t>://</w:t>
        </w:r>
        <w:r>
          <w:rPr>
            <w:rStyle w:val="21"/>
          </w:rPr>
          <w:t>www</w:t>
        </w:r>
        <w:r w:rsidRPr="00145EDB">
          <w:rPr>
            <w:rStyle w:val="21"/>
            <w:lang w:val="ru-RU"/>
          </w:rPr>
          <w:t>.</w:t>
        </w:r>
        <w:r>
          <w:rPr>
            <w:rStyle w:val="21"/>
          </w:rPr>
          <w:t>gosuslugi</w:t>
        </w:r>
        <w:r w:rsidRPr="00145EDB">
          <w:rPr>
            <w:rStyle w:val="21"/>
            <w:lang w:val="ru-RU"/>
          </w:rPr>
          <w:t>.</w:t>
        </w:r>
        <w:r>
          <w:rPr>
            <w:rStyle w:val="21"/>
          </w:rPr>
          <w:t>ru</w:t>
        </w:r>
        <w:r w:rsidRPr="00145EDB">
          <w:rPr>
            <w:rStyle w:val="21"/>
            <w:lang w:val="ru-RU"/>
          </w:rPr>
          <w:t>/</w:t>
        </w:r>
      </w:hyperlink>
      <w:r w:rsidRPr="00145EDB">
        <w:rPr>
          <w:lang w:eastAsia="en-US" w:bidi="en-US"/>
        </w:rPr>
        <w:t xml:space="preserve">). </w:t>
      </w:r>
      <w:r>
        <w:t>через терминал элек</w:t>
      </w:r>
      <w:r>
        <w:softHyphen/>
        <w:t>тронной очереди и инфомат «Электронный Татарстан»; записи сотрудником реги</w:t>
      </w:r>
      <w:r>
        <w:softHyphen/>
        <w:t>стратуры медицинской организации (при обращении</w:t>
      </w:r>
      <w:r>
        <w:t xml:space="preserve"> пациента в регистратуру или по телефону).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365"/>
        </w:tabs>
        <w:ind w:firstLine="740"/>
      </w:pPr>
      <w:r>
        <w:t>Оказание первичной специализированной медико-санитарной помощи в плановой форме осуществляется (за исключением консультативных поликлиник, диспансеров республиканских медицинских организаций, в том числе городских</w:t>
      </w:r>
      <w:r>
        <w:t xml:space="preserve"> специализированных центров) по направлению врача-терапевта участкового, врача- педиатра участкового, врача общей практики (семейного врача), фельдшера, врача- специалиста, а также в случае самостоятельного обращения гражданина к врачу- специалисту с учето</w:t>
      </w:r>
      <w:r>
        <w:t>м порядков оказания медицинской помощи; лечащим врачом, оказывающим первичную медико-санитарную помощь.</w:t>
      </w:r>
    </w:p>
    <w:p w:rsidR="0022053B" w:rsidRDefault="00145EDB">
      <w:pPr>
        <w:pStyle w:val="20"/>
        <w:shd w:val="clear" w:color="auto" w:fill="auto"/>
        <w:spacing w:line="302" w:lineRule="exact"/>
        <w:ind w:firstLine="740"/>
      </w:pPr>
      <w:r>
        <w:t>Предварительная запись пациентов на прием к врачу-специалисту осущест</w:t>
      </w:r>
      <w:r>
        <w:softHyphen/>
        <w:t>вляется посредством самостоятельной записи через Портал государственных и му</w:t>
      </w:r>
      <w:r>
        <w:softHyphen/>
      </w:r>
      <w:r>
        <w:t xml:space="preserve">ниципальных услуг Республики Татарстан </w:t>
      </w:r>
      <w:r w:rsidRPr="00145EDB">
        <w:rPr>
          <w:lang w:eastAsia="en-US" w:bidi="en-US"/>
        </w:rPr>
        <w:t>(</w:t>
      </w:r>
      <w:hyperlink r:id="rId9" w:history="1">
        <w:r>
          <w:rPr>
            <w:rStyle w:val="21"/>
          </w:rPr>
          <w:t>http</w:t>
        </w:r>
        <w:r w:rsidRPr="00145EDB">
          <w:rPr>
            <w:rStyle w:val="21"/>
            <w:lang w:val="ru-RU"/>
          </w:rPr>
          <w:t>://</w:t>
        </w:r>
        <w:r>
          <w:rPr>
            <w:rStyle w:val="21"/>
          </w:rPr>
          <w:t>uslugi</w:t>
        </w:r>
        <w:r w:rsidRPr="00145EDB">
          <w:rPr>
            <w:rStyle w:val="21"/>
            <w:lang w:val="ru-RU"/>
          </w:rPr>
          <w:t>.</w:t>
        </w:r>
        <w:r>
          <w:rPr>
            <w:rStyle w:val="21"/>
          </w:rPr>
          <w:t>tatar</w:t>
        </w:r>
        <w:r w:rsidRPr="00145EDB">
          <w:rPr>
            <w:rStyle w:val="21"/>
            <w:lang w:val="ru-RU"/>
          </w:rPr>
          <w:t>.</w:t>
        </w:r>
        <w:r>
          <w:rPr>
            <w:rStyle w:val="21"/>
          </w:rPr>
          <w:t>ru</w:t>
        </w:r>
        <w:r w:rsidRPr="00145EDB">
          <w:rPr>
            <w:rStyle w:val="21"/>
            <w:lang w:val="ru-RU"/>
          </w:rPr>
          <w:t>/</w:t>
        </w:r>
      </w:hyperlink>
      <w:r w:rsidRPr="00145EDB">
        <w:rPr>
          <w:lang w:eastAsia="en-US" w:bidi="en-US"/>
        </w:rPr>
        <w:t xml:space="preserve">). </w:t>
      </w:r>
      <w:r>
        <w:t xml:space="preserve">Единый портал государственных и муниципальных услуг (функций) </w:t>
      </w:r>
      <w:r w:rsidRPr="00145EDB">
        <w:rPr>
          <w:lang w:eastAsia="en-US" w:bidi="en-US"/>
        </w:rPr>
        <w:t>(</w:t>
      </w:r>
      <w:hyperlink r:id="rId10" w:history="1">
        <w:r>
          <w:rPr>
            <w:rStyle w:val="21"/>
          </w:rPr>
          <w:t>http</w:t>
        </w:r>
        <w:r w:rsidRPr="00145EDB">
          <w:rPr>
            <w:rStyle w:val="21"/>
            <w:lang w:val="ru-RU"/>
          </w:rPr>
          <w:t>://</w:t>
        </w:r>
        <w:r>
          <w:rPr>
            <w:rStyle w:val="21"/>
          </w:rPr>
          <w:t>www</w:t>
        </w:r>
        <w:r w:rsidRPr="00145EDB">
          <w:rPr>
            <w:rStyle w:val="21"/>
            <w:lang w:val="ru-RU"/>
          </w:rPr>
          <w:t>.</w:t>
        </w:r>
        <w:r>
          <w:rPr>
            <w:rStyle w:val="21"/>
          </w:rPr>
          <w:t>gosuslugi</w:t>
        </w:r>
        <w:r w:rsidRPr="00145EDB">
          <w:rPr>
            <w:rStyle w:val="21"/>
            <w:lang w:val="ru-RU"/>
          </w:rPr>
          <w:t>.</w:t>
        </w:r>
        <w:r>
          <w:rPr>
            <w:rStyle w:val="21"/>
          </w:rPr>
          <w:t>ru</w:t>
        </w:r>
        <w:r w:rsidRPr="00145EDB">
          <w:rPr>
            <w:rStyle w:val="21"/>
            <w:lang w:val="ru-RU"/>
          </w:rPr>
          <w:t>/</w:t>
        </w:r>
      </w:hyperlink>
      <w:r w:rsidRPr="00145EDB">
        <w:rPr>
          <w:lang w:eastAsia="en-US" w:bidi="en-US"/>
        </w:rPr>
        <w:t xml:space="preserve">). </w:t>
      </w:r>
      <w:r>
        <w:t>через терминал электрон</w:t>
      </w:r>
      <w:r>
        <w:t>ной очереди и инфомат «Электронный Татарстан»; сотрудником</w:t>
      </w:r>
    </w:p>
    <w:p w:rsidR="0022053B" w:rsidRDefault="00145EDB">
      <w:pPr>
        <w:pStyle w:val="20"/>
        <w:shd w:val="clear" w:color="auto" w:fill="auto"/>
        <w:spacing w:line="302" w:lineRule="exact"/>
        <w:ind w:left="200"/>
      </w:pPr>
      <w:r>
        <w:t>регистратуры медицинской организации (при обращении пациента в регистратуру или по телефону).</w:t>
      </w:r>
    </w:p>
    <w:p w:rsidR="0022053B" w:rsidRDefault="00145EDB">
      <w:pPr>
        <w:pStyle w:val="20"/>
        <w:shd w:val="clear" w:color="auto" w:fill="auto"/>
        <w:spacing w:line="302" w:lineRule="exact"/>
        <w:ind w:firstLine="880"/>
        <w:jc w:val="left"/>
      </w:pPr>
      <w:r>
        <w:t>Пациент имеет право на использование наиболее доступного способа предва</w:t>
      </w:r>
      <w:r>
        <w:softHyphen/>
        <w:t>рительной записи.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571"/>
        </w:tabs>
        <w:spacing w:line="302" w:lineRule="exact"/>
        <w:ind w:left="200" w:firstLine="680"/>
      </w:pPr>
      <w:r>
        <w:t>Порядок напра</w:t>
      </w:r>
      <w:r>
        <w:t>вления пациентов в консультативные поликлиники, диспансеры республиканских медицинских организаций (в том числе городские специализированные центры) устанавливается Министерством здравоохранения Республики Татарстан. При направлении пациента оформляется вы</w:t>
      </w:r>
      <w:r>
        <w:t>писка из медицинской карты амбулаторного больного в соответствии с нормативными документами.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577"/>
        </w:tabs>
        <w:spacing w:line="302" w:lineRule="exact"/>
        <w:ind w:left="200" w:firstLine="680"/>
      </w:pPr>
      <w:r>
        <w:t>Оказание гражданам первичной специализированной медико-санитарной помощи по профилю «акушерство и гинекология» осуществляется преимущест</w:t>
      </w:r>
      <w:r>
        <w:softHyphen/>
        <w:t>венно в женских консультац</w:t>
      </w:r>
      <w:r>
        <w:t>иях (кабинетах), являющихся структурными подразде</w:t>
      </w:r>
      <w:r>
        <w:softHyphen/>
        <w:t>лениями поликлиник (больниц). Выбор женской консультации осуществляется с учетом приоритетности выбора поликлиники для получения первичной медико- санитарной помощи.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565"/>
        </w:tabs>
        <w:spacing w:line="302" w:lineRule="exact"/>
        <w:ind w:left="200" w:firstLine="680"/>
      </w:pPr>
      <w:r>
        <w:t>Направление пациента на плановую госпита</w:t>
      </w:r>
      <w:r>
        <w:t>лизацию в условиях круглосуточного или дневного стационара осуществляется лечащим врачом. Перед направлением пациента на плановую госпитализацию в условиях круглосуточного или дневного стационара должно быть проведено догоспитальное обследование в соответс</w:t>
      </w:r>
      <w:r>
        <w:t>твии с требованиями, установленными Министерством здравоохранения Республики Татарстан. Отсутствие отдельных исследований в рамках догоспиталь</w:t>
      </w:r>
      <w:r>
        <w:softHyphen/>
        <w:t>ного обследования, которые возможно выполнить на госпитальном этапе, не может являться причиной отказа в госпитал</w:t>
      </w:r>
      <w:r>
        <w:t>изации.</w:t>
      </w:r>
    </w:p>
    <w:p w:rsidR="0022053B" w:rsidRDefault="00145EDB">
      <w:pPr>
        <w:pStyle w:val="20"/>
        <w:shd w:val="clear" w:color="auto" w:fill="auto"/>
        <w:spacing w:line="302" w:lineRule="exact"/>
        <w:ind w:left="200" w:firstLine="680"/>
      </w:pPr>
      <w:r>
        <w:lastRenderedPageBreak/>
        <w:t xml:space="preserve">При выдаче направления на плановую госпитализацию лечащий врач обязан проинформировать гражданина о перечне медицинских организаций, участвующих в реализации Программы, в которых возможно оказание медицинской помощи соответствующего профиля, в том </w:t>
      </w:r>
      <w:r>
        <w:t>числе об условиях оказания медицинской помощи (круглосуточный стационар, дневной стационар).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571"/>
        </w:tabs>
        <w:spacing w:line="302" w:lineRule="exact"/>
        <w:ind w:left="200" w:firstLine="680"/>
      </w:pPr>
      <w:r>
        <w:t xml:space="preserve">Направление пациента на плановую госпитализацию в дневной стационар осуществляется лечащим врачом в соответствии с медицинскими показаниями, предусматривающими </w:t>
      </w:r>
      <w:r>
        <w:t>медицинское наблюдение и лечение в дневное время, но не требующими круглосуточного медицинского наблюдения и лечения.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577"/>
        </w:tabs>
        <w:spacing w:line="302" w:lineRule="exact"/>
        <w:ind w:left="200" w:firstLine="680"/>
      </w:pPr>
      <w:r>
        <w:t>Ведение медицинской документации в медицинских организациях, оказывающих медицинскую помощь в амбулаторных условиях, осуществляется соглас</w:t>
      </w:r>
      <w:r>
        <w:t>но формам и порядку их заполнения, утвержденным приказом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</w:t>
      </w:r>
      <w:r>
        <w:t>цинскую помощь в амбулаторных условиях, и порядков по их заполнению».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565"/>
        </w:tabs>
        <w:spacing w:line="302" w:lineRule="exact"/>
        <w:ind w:left="200" w:firstLine="680"/>
      </w:pPr>
      <w:r>
        <w:t>На каждого пациента в медицинской организации или ее структурном подразделении, оказывающем медицинскую помощь в амбулаторных условиях, независимо от того, сколькими врачами проводится л</w:t>
      </w:r>
      <w:r>
        <w:t>ечение, заполняется одна карта.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571"/>
        </w:tabs>
        <w:spacing w:line="314" w:lineRule="exact"/>
        <w:ind w:left="200" w:firstLine="680"/>
      </w:pPr>
      <w:r>
        <w:t>Медицинские карты амбулаторных больных хранятся в медицинской организации. Медицинская организация несет ответственность за их сохранность в соответствии с законодательством.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371"/>
        </w:tabs>
        <w:spacing w:line="308" w:lineRule="exact"/>
        <w:ind w:firstLine="760"/>
      </w:pPr>
      <w:r>
        <w:t xml:space="preserve">Пациент либо его законный представитель имеет </w:t>
      </w:r>
      <w:r>
        <w:t xml:space="preserve">право знакомиться с медицинской документацией, отражающей состояние его здоровья, в порядке, утвержденном приказом Министерства здравоохранения Российской Федерации от 29 июня 2016 г. № 425н «Об утверждении Порядка ознакомления пациента либо его законного </w:t>
      </w:r>
      <w:r>
        <w:t>представителя с медицинской документацией, отражающей состояние здоровья пациента».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377"/>
        </w:tabs>
        <w:spacing w:line="308" w:lineRule="exact"/>
        <w:ind w:firstLine="760"/>
      </w:pPr>
      <w:r>
        <w:t>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</w:t>
      </w:r>
      <w:r>
        <w:t>едицинских документов в порядке, установ</w:t>
      </w:r>
      <w:r>
        <w:softHyphen/>
        <w:t>ленном Министерством здравоохранения Российской Федерации.</w:t>
      </w:r>
    </w:p>
    <w:p w:rsidR="0022053B" w:rsidRDefault="00145EDB">
      <w:pPr>
        <w:pStyle w:val="20"/>
        <w:numPr>
          <w:ilvl w:val="1"/>
          <w:numId w:val="2"/>
        </w:numPr>
        <w:shd w:val="clear" w:color="auto" w:fill="auto"/>
        <w:tabs>
          <w:tab w:val="left" w:pos="1377"/>
        </w:tabs>
        <w:spacing w:line="308" w:lineRule="exact"/>
        <w:ind w:firstLine="760"/>
      </w:pPr>
      <w:r>
        <w:t xml:space="preserve">Выдача медицинских справок осуществляется согласно порядку, утвержденному приказом Министерства здравоохранения и социального развития Российской Федерации </w:t>
      </w:r>
      <w:r>
        <w:t>от 2 мая 2012 г. № 441н «Об утверждении Порядка выдачи медицинскими организациями справок и медицинских заключений», без взимания личных денежных средств пациента (законного представителя).</w:t>
      </w:r>
    </w:p>
    <w:p w:rsidR="0022053B" w:rsidRDefault="0022053B">
      <w:pPr>
        <w:pStyle w:val="20"/>
        <w:shd w:val="clear" w:color="auto" w:fill="auto"/>
        <w:spacing w:line="319" w:lineRule="exact"/>
        <w:ind w:firstLine="760"/>
      </w:pPr>
    </w:p>
    <w:sectPr w:rsidR="0022053B">
      <w:headerReference w:type="default" r:id="rId11"/>
      <w:pgSz w:w="11900" w:h="16840"/>
      <w:pgMar w:top="1131" w:right="565" w:bottom="1209" w:left="1022" w:header="0" w:footer="3" w:gutter="0"/>
      <w:pgNumType w:start="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DB" w:rsidRDefault="00145EDB">
      <w:r>
        <w:separator/>
      </w:r>
    </w:p>
  </w:endnote>
  <w:endnote w:type="continuationSeparator" w:id="0">
    <w:p w:rsidR="00145EDB" w:rsidRDefault="0014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DB" w:rsidRDefault="00145EDB"/>
  </w:footnote>
  <w:footnote w:type="continuationSeparator" w:id="0">
    <w:p w:rsidR="00145EDB" w:rsidRDefault="00145E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53B" w:rsidRDefault="00145E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384810</wp:posOffset>
              </wp:positionV>
              <wp:extent cx="160655" cy="194945"/>
              <wp:effectExtent l="3810" t="3810" r="254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53B" w:rsidRDefault="00145ED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45EDB">
                            <w:rPr>
                              <w:rStyle w:val="a5"/>
                              <w:noProof/>
                            </w:rPr>
                            <w:t>13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55pt;margin-top:30.3pt;width:12.65pt;height:15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fjpgIAAKY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" filled="f" stroked="f">
              <v:textbox style="mso-fit-shape-to-text:t" inset="0,0,0,0">
                <w:txbxContent>
                  <w:p w:rsidR="0022053B" w:rsidRDefault="00145ED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45EDB">
                      <w:rPr>
                        <w:rStyle w:val="a5"/>
                        <w:noProof/>
                      </w:rPr>
                      <w:t>13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4CF"/>
    <w:multiLevelType w:val="multilevel"/>
    <w:tmpl w:val="B562E9B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311EE0"/>
    <w:multiLevelType w:val="multilevel"/>
    <w:tmpl w:val="6F6852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3B"/>
    <w:rsid w:val="00145EDB"/>
    <w:rsid w:val="0022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01B1164-55C3-4369-8243-0084D36D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308" w:lineRule="exac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5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slugi.tata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lugi.ta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1832</Words>
  <Characters>10444</Characters>
  <Application>Microsoft Office Word</Application>
  <DocSecurity>0</DocSecurity>
  <Lines>87</Lines>
  <Paragraphs>24</Paragraphs>
  <ScaleCrop>false</ScaleCrop>
  <Company/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2017-06-27T13:59:00Z</dcterms:created>
  <dcterms:modified xsi:type="dcterms:W3CDTF">2017-06-27T14:00:00Z</dcterms:modified>
</cp:coreProperties>
</file>