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8A124E" w:rsidRP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Объем медицинской помощи в амбулаторных условиях, </w:t>
      </w: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 xml:space="preserve">оказываемой с профилактической и иными целями, </w:t>
      </w: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>на одного жителя / одно застрахованное лицо на 2024 год</w:t>
      </w:r>
    </w:p>
    <w:p w:rsidR="008A124E" w:rsidRPr="008A124E" w:rsidRDefault="008A124E" w:rsidP="008A124E">
      <w:pPr>
        <w:widowControl w:val="0"/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6757"/>
        <w:gridCol w:w="1368"/>
        <w:gridCol w:w="1418"/>
      </w:tblGrid>
      <w:tr w:rsidR="008A124E" w:rsidRPr="008A124E" w:rsidTr="001000B7">
        <w:trPr>
          <w:trHeight w:val="20"/>
        </w:trPr>
        <w:tc>
          <w:tcPr>
            <w:tcW w:w="913" w:type="dxa"/>
            <w:vMerge w:val="restart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№ строки</w:t>
            </w:r>
          </w:p>
        </w:tc>
        <w:tc>
          <w:tcPr>
            <w:tcW w:w="6757" w:type="dxa"/>
            <w:vMerge w:val="restart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Показатель (на одного жителя / одно застрахованное лицо)</w:t>
            </w:r>
          </w:p>
        </w:tc>
        <w:tc>
          <w:tcPr>
            <w:tcW w:w="2786" w:type="dxa"/>
            <w:gridSpan w:val="2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Источник финансового </w:t>
            </w: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br/>
              <w:t>обеспечения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vMerge/>
            <w:shd w:val="clear" w:color="auto" w:fill="auto"/>
            <w:vAlign w:val="center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6757" w:type="dxa"/>
            <w:vMerge/>
            <w:shd w:val="clear" w:color="auto" w:fill="auto"/>
            <w:vAlign w:val="center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бюджетные ассигнования бюджета Республики Татарстан</w:t>
            </w:r>
          </w:p>
        </w:tc>
        <w:tc>
          <w:tcPr>
            <w:tcW w:w="141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средства ОМС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757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Объем посещений с профилактической и иными целями (сумма </w:t>
            </w: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br/>
              <w:t xml:space="preserve">строк 2 + 3 + 4 + 5) – всего, </w:t>
            </w:r>
          </w:p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 том числе: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3,095003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I. Норматив объема комплексных посещений для проведения профилактических медицинских осмотров (включая первое посещение для проведения диспансерного наблюдения)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0,311412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757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II. Норматив объема комплексных посещений для проведения диспансеризации, в том числе: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0,388591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3.1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для проведения углубленной диспансеризации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0,050758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757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III. Объем комплексных посещений для проведения диспансерного наблюдения (за исключением первого посещения)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0,261736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I</w:t>
            </w: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en-US" w:eastAsia="ru-RU"/>
              </w:rPr>
              <w:t>V</w:t>
            </w: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 Норматив посещений с иными целями (сумма строк  6 + 9 + 10 + 11), в том числе: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2,133264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норматив посещений для паллиативной медицинской помощи (сумма </w:t>
            </w: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br/>
              <w:t>строк 7 + 8), в том числе: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норматив посещений на дому выездными патронажными бригадами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объем разовых посещений в связи с заболеванием</w:t>
            </w:r>
          </w:p>
        </w:tc>
        <w:tc>
          <w:tcPr>
            <w:tcW w:w="136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0,590914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36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1,080718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57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0,461632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Справочно</w:t>
            </w:r>
            <w:proofErr w:type="spellEnd"/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:</w:t>
            </w:r>
          </w:p>
        </w:tc>
        <w:tc>
          <w:tcPr>
            <w:tcW w:w="136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объем посещений центров здоровья</w:t>
            </w:r>
          </w:p>
        </w:tc>
        <w:tc>
          <w:tcPr>
            <w:tcW w:w="136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0,019522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6757" w:type="dxa"/>
            <w:shd w:val="clear" w:color="auto" w:fill="auto"/>
            <w:noWrap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объем посещений центров амбулаторной онкологической помощи</w:t>
            </w:r>
          </w:p>
        </w:tc>
        <w:tc>
          <w:tcPr>
            <w:tcW w:w="136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0,005172</w:t>
            </w:r>
          </w:p>
        </w:tc>
      </w:tr>
      <w:tr w:rsidR="008A124E" w:rsidRPr="008A124E" w:rsidTr="001000B7">
        <w:trPr>
          <w:trHeight w:val="20"/>
        </w:trPr>
        <w:tc>
          <w:tcPr>
            <w:tcW w:w="913" w:type="dxa"/>
            <w:shd w:val="clear" w:color="auto" w:fill="auto"/>
            <w:noWrap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6757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объем посещений для проведения 2-го этапа диспансеризации</w:t>
            </w:r>
          </w:p>
        </w:tc>
        <w:tc>
          <w:tcPr>
            <w:tcW w:w="1368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0,077885</w:t>
            </w:r>
          </w:p>
        </w:tc>
      </w:tr>
    </w:tbl>
    <w:p w:rsidR="008A124E" w:rsidRPr="008A124E" w:rsidRDefault="008A124E" w:rsidP="008A124E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eastAsia="Calibri" w:hAnsi="Times New Roman" w:cs="Times New Roman"/>
          <w:color w:val="000000"/>
          <w:sz w:val="16"/>
          <w:szCs w:val="28"/>
        </w:rPr>
      </w:pPr>
    </w:p>
    <w:p w:rsidR="008A124E" w:rsidRPr="008A124E" w:rsidRDefault="008A124E" w:rsidP="008A12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8A124E" w:rsidRPr="008A124E" w:rsidRDefault="008A124E" w:rsidP="008A124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6"/>
          <w:szCs w:val="28"/>
        </w:rPr>
      </w:pPr>
    </w:p>
    <w:p w:rsidR="008A124E" w:rsidRPr="008A124E" w:rsidRDefault="008A124E" w:rsidP="008A124E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8A124E" w:rsidRPr="008A124E" w:rsidRDefault="008A124E" w:rsidP="008A124E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8A124E" w:rsidRPr="008A124E" w:rsidRDefault="008A124E" w:rsidP="008A124E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24E">
        <w:rPr>
          <w:rFonts w:ascii="Calibri" w:eastAsia="Calibri" w:hAnsi="Calibri" w:cs="Times New Roman"/>
          <w:color w:val="000000"/>
        </w:rPr>
        <w:br w:type="page"/>
      </w:r>
    </w:p>
    <w:p w:rsidR="008A124E" w:rsidRP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124E" w:rsidRP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124E" w:rsidRP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Прогнозный объем специализированной, в том числе высокотехнологичной, </w:t>
      </w:r>
    </w:p>
    <w:p w:rsidR="008A124E" w:rsidRP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медицинской помощи, оказываемой в стационарных условиях и в условиях </w:t>
      </w:r>
    </w:p>
    <w:p w:rsidR="008A124E" w:rsidRPr="008A124E" w:rsidRDefault="008A124E" w:rsidP="008A12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дневного стационара федеральными медицинскими организациями </w:t>
      </w: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 xml:space="preserve">за счет средств бюджета Федерального фонда обязательного </w:t>
      </w:r>
      <w:r w:rsidRPr="008A12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>медицинского страхования</w:t>
      </w:r>
    </w:p>
    <w:p w:rsidR="008A124E" w:rsidRPr="008A124E" w:rsidRDefault="008A124E" w:rsidP="008A124E">
      <w:pPr>
        <w:widowControl w:val="0"/>
        <w:tabs>
          <w:tab w:val="left" w:pos="721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2552"/>
        <w:gridCol w:w="2551"/>
      </w:tblGrid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оказания медицинской помощи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Прогнозный объем медицинской помощи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Специализированная медицинская помощь в условиях дневных стационаров, в том числе: 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 лечения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10 594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профилю «онкология»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 лечения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2 907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экстракорпоральное оплодотворение  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286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медицинская реабилитация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 лечения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485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Специализированная медицинская помощь в условиях круглосуточного стационара, в том числе: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 госпитализации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46 002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профилю «онкология»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 госпитализации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6 142</w:t>
            </w:r>
          </w:p>
        </w:tc>
      </w:tr>
      <w:tr w:rsidR="008A124E" w:rsidRPr="008A124E" w:rsidTr="001000B7">
        <w:trPr>
          <w:trHeight w:val="20"/>
        </w:trPr>
        <w:tc>
          <w:tcPr>
            <w:tcW w:w="5093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медицинская реабилитация</w:t>
            </w:r>
          </w:p>
        </w:tc>
        <w:tc>
          <w:tcPr>
            <w:tcW w:w="2552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случаев госпитализации</w:t>
            </w:r>
          </w:p>
        </w:tc>
        <w:tc>
          <w:tcPr>
            <w:tcW w:w="2551" w:type="dxa"/>
            <w:shd w:val="clear" w:color="auto" w:fill="auto"/>
            <w:hideMark/>
          </w:tcPr>
          <w:p w:rsidR="008A124E" w:rsidRPr="008A124E" w:rsidRDefault="008A124E" w:rsidP="008A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A1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4 769</w:t>
            </w:r>
          </w:p>
        </w:tc>
      </w:tr>
    </w:tbl>
    <w:p w:rsidR="008A124E" w:rsidRPr="008A124E" w:rsidRDefault="008A124E" w:rsidP="008A12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A124E" w:rsidRPr="008A124E" w:rsidRDefault="008A124E" w:rsidP="008A12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A124E" w:rsidRPr="008A124E" w:rsidRDefault="008A124E" w:rsidP="008A12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A124E" w:rsidRPr="008A124E" w:rsidRDefault="008A124E" w:rsidP="008A12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7659F" w:rsidRDefault="008A124E"/>
    <w:sectPr w:rsidR="0097659F" w:rsidSect="008A12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4E"/>
    <w:rsid w:val="00244526"/>
    <w:rsid w:val="00702397"/>
    <w:rsid w:val="008A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1D73"/>
  <w15:chartTrackingRefBased/>
  <w15:docId w15:val="{6BB8AA94-6B7F-45A3-81AA-101F2C34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экономист 1</dc:creator>
  <cp:keywords/>
  <dc:description/>
  <cp:lastModifiedBy>ПК экономист 1</cp:lastModifiedBy>
  <cp:revision>1</cp:revision>
  <dcterms:created xsi:type="dcterms:W3CDTF">2024-07-18T14:33:00Z</dcterms:created>
  <dcterms:modified xsi:type="dcterms:W3CDTF">2024-07-18T14:34:00Z</dcterms:modified>
</cp:coreProperties>
</file>