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F2" w:rsidRPr="00B506F2" w:rsidRDefault="00B506F2" w:rsidP="00B506F2">
      <w:pPr>
        <w:spacing w:before="100" w:beforeAutospacing="1" w:after="180" w:line="480" w:lineRule="atLeast"/>
        <w:outlineLvl w:val="1"/>
        <w:rPr>
          <w:rFonts w:ascii="Georgia" w:eastAsia="Times New Roman" w:hAnsi="Georgia" w:cs="Arial"/>
          <w:b/>
          <w:bCs/>
          <w:kern w:val="36"/>
          <w:sz w:val="42"/>
          <w:szCs w:val="42"/>
          <w:lang w:eastAsia="ru-RU"/>
        </w:rPr>
      </w:pPr>
      <w:r w:rsidRPr="00B506F2">
        <w:rPr>
          <w:rFonts w:ascii="Georgia" w:eastAsia="Times New Roman" w:hAnsi="Georgia" w:cs="Arial"/>
          <w:b/>
          <w:bCs/>
          <w:kern w:val="36"/>
          <w:sz w:val="42"/>
          <w:szCs w:val="42"/>
          <w:lang w:eastAsia="ru-RU"/>
        </w:rPr>
        <w:t>Геморрагическая лихорадка с почечным синдромом (ГЛПС)</w:t>
      </w:r>
    </w:p>
    <w:p w:rsidR="00B506F2" w:rsidRPr="00B506F2" w:rsidRDefault="00B506F2" w:rsidP="00B50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506F2">
        <w:rPr>
          <w:rFonts w:ascii="Arial" w:eastAsia="Times New Roman" w:hAnsi="Arial" w:cs="Arial"/>
          <w:sz w:val="24"/>
          <w:szCs w:val="24"/>
          <w:lang w:eastAsia="ru-RU"/>
        </w:rPr>
        <w:drawing>
          <wp:inline distT="0" distB="0" distL="0" distR="0">
            <wp:extent cx="3047365" cy="2281603"/>
            <wp:effectExtent l="0" t="0" r="635" b="4445"/>
            <wp:docPr id="2" name="Рисунок 2" descr="http://sovetydnya.com/wp-content/uploads/2011/02/00049998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ovetydnya.com/wp-content/uploads/2011/02/00049998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046" cy="230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br w:type="textWrapping" w:clear="all"/>
      </w:r>
    </w:p>
    <w:p w:rsidR="00B506F2" w:rsidRPr="00B506F2" w:rsidRDefault="00B506F2" w:rsidP="00B506F2">
      <w:pPr>
        <w:spacing w:before="270" w:after="90" w:line="360" w:lineRule="atLeast"/>
        <w:outlineLvl w:val="3"/>
        <w:rPr>
          <w:rFonts w:ascii="Georgia" w:eastAsia="Times New Roman" w:hAnsi="Georgia" w:cs="Arial"/>
          <w:b/>
          <w:bCs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Что это такое?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Геморрагическая лихорадка с почечным синдромом (ГЛПС) встречается во многих регионах России. Первое описание ее было сделано в 1935 году на Дальнем Востоке, затем выяснилось, что она распространена в Московской, Тульской, Ярославской, Самарской, Тверской областях, Предуралье. Заболевание характеризуется избирательным поражением кровеносных сосудов почек.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 xml:space="preserve">Инфекция вызывается вирусами рода </w:t>
      </w:r>
      <w:proofErr w:type="spellStart"/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Хантавирусов</w:t>
      </w:r>
      <w:proofErr w:type="spellEnd"/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, их переносчиками выступают лесные и полевые мыши. Вирус выделяется в окружающую среду со слюной и испражнениями грызунов, заражение происходит при вдыхании воздуха, загрязненного частицами высохших выделений мышей, возможен и пищевой путь заражения — через продукты.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Люди достаточно восприимчивы к заболеванию, но для окружающих больной человек не представляет опасности. Перенесенная инфекция оставляет после себя стойкий пожизненный иммунитет.</w:t>
      </w:r>
    </w:p>
    <w:p w:rsidR="00B506F2" w:rsidRPr="00B506F2" w:rsidRDefault="00B506F2" w:rsidP="00B506F2">
      <w:pPr>
        <w:spacing w:before="270" w:after="90" w:line="360" w:lineRule="atLeast"/>
        <w:outlineLvl w:val="3"/>
        <w:rPr>
          <w:rFonts w:ascii="Georgia" w:eastAsia="Times New Roman" w:hAnsi="Georgia" w:cs="Arial"/>
          <w:b/>
          <w:bCs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Что происходит?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 xml:space="preserve">Инкубационный период составляет 7-46 дней. Возбудитель ГЛПС поражает кровеносные сосуды. В результате их проницаемость повышается, происходит выход плазмы — жидкой части крови — в окружающие ткани. Сама же кровь сгущается, нарушается работа ее свертывающей системы. В большей степени страдают сосуды почек, развивается острая почечная недостаточность, возможет даже разрыв почки. Помимо этого характерны и общие реакции организма </w:t>
      </w:r>
      <w:r w:rsidRPr="00B506F2">
        <w:rPr>
          <w:rFonts w:ascii="Georgia" w:eastAsia="Times New Roman" w:hAnsi="Georgia" w:cs="Arial"/>
          <w:sz w:val="24"/>
          <w:szCs w:val="24"/>
          <w:lang w:eastAsia="ru-RU"/>
        </w:rPr>
        <w:lastRenderedPageBreak/>
        <w:t>на вторжение вируса — высокая температура (лихорадка</w:t>
      </w:r>
      <w:proofErr w:type="gramStart"/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),  интоксикация</w:t>
      </w:r>
      <w:proofErr w:type="gramEnd"/>
      <w:r w:rsidRPr="00B506F2">
        <w:rPr>
          <w:rFonts w:ascii="Georgia" w:eastAsia="Times New Roman" w:hAnsi="Georgia" w:cs="Arial"/>
          <w:sz w:val="24"/>
          <w:szCs w:val="24"/>
          <w:lang w:eastAsia="ru-RU"/>
        </w:rPr>
        <w:t xml:space="preserve"> и другие.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Болезнь обычно начинается внезапно, с острых и интенсивных головных болей преимущественно в надглазничных и височных областях. Одновременно — в течение нескольких часов — нарастает температура тела. Она быстро достигает 38-40°С. К концу первого дня многие больные отмечают снижение остроты зрения. Отмечается также тошнота, доходящая до рвоты, часто появляется икота.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Температура удерживается в течение 3-5 дней, затем постепенно снижается, но состояние больных не улучшается, а наоборот. В это время развивается почечный синдром, характеризующийся болями в поясничной области и животе, снижением количества выделяемой мочи, в тяжелых случаях возможна анурия (полное отсутствие мочи).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К концу второй недели болезни рвота прекращается, исчезают боли в пояснице и животе, количество суточной мочи может достигать 5 и более литров. Переход в период выздоровления отмечается обычно к 4-ой неделе заболевания.</w:t>
      </w:r>
    </w:p>
    <w:p w:rsidR="00B506F2" w:rsidRPr="00B506F2" w:rsidRDefault="00B506F2" w:rsidP="00B506F2">
      <w:pPr>
        <w:spacing w:before="270" w:after="90" w:line="360" w:lineRule="atLeast"/>
        <w:outlineLvl w:val="3"/>
        <w:rPr>
          <w:rFonts w:ascii="Georgia" w:eastAsia="Times New Roman" w:hAnsi="Georgia" w:cs="Arial"/>
          <w:b/>
          <w:bCs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Диагностика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В первый период болезни распознать ГЛПС бывает сложно. От острых респираторных заболеваний ее можно отличить по отсутствию насморка, кашля и других симптомов поражения дыхательных путей, а от кишечных инфекций — поздним появлением болей в животе и рвоты, которые с течением болезни только усиливаются.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Основной диагностический признак — резкое уменьшение количества мочи и ухудшение состояния больного после нормализации температуры тела. Возможно также лабораторное подтверждение диагноза ГЛПС.</w:t>
      </w:r>
    </w:p>
    <w:p w:rsidR="00B506F2" w:rsidRPr="00B506F2" w:rsidRDefault="00B506F2" w:rsidP="00B506F2">
      <w:pPr>
        <w:spacing w:before="270" w:after="90" w:line="360" w:lineRule="atLeast"/>
        <w:outlineLvl w:val="3"/>
        <w:rPr>
          <w:rFonts w:ascii="Georgia" w:eastAsia="Times New Roman" w:hAnsi="Georgia" w:cs="Arial"/>
          <w:b/>
          <w:bCs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Лечение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Лечение проводится в условиях инфекционного отделения. Назначается противовоспалительное лечение, нормализация выделения мочи. Не применяются препараты, усиливающие поражение почек.</w:t>
      </w:r>
    </w:p>
    <w:p w:rsidR="00B506F2" w:rsidRPr="00B506F2" w:rsidRDefault="00B506F2" w:rsidP="00B506F2">
      <w:pPr>
        <w:spacing w:before="270" w:after="90" w:line="360" w:lineRule="atLeast"/>
        <w:outlineLvl w:val="3"/>
        <w:rPr>
          <w:rFonts w:ascii="Georgia" w:eastAsia="Times New Roman" w:hAnsi="Georgia" w:cs="Arial"/>
          <w:b/>
          <w:bCs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Профилактика</w:t>
      </w:r>
    </w:p>
    <w:p w:rsidR="00B506F2" w:rsidRPr="00B506F2" w:rsidRDefault="00B506F2" w:rsidP="00B506F2">
      <w:pPr>
        <w:spacing w:before="100" w:beforeAutospacing="1" w:after="180" w:line="360" w:lineRule="atLeast"/>
        <w:rPr>
          <w:rFonts w:ascii="Georgia" w:eastAsia="Times New Roman" w:hAnsi="Georgia" w:cs="Arial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sz w:val="24"/>
          <w:szCs w:val="24"/>
          <w:lang w:eastAsia="ru-RU"/>
        </w:rPr>
        <w:t>Сводится к мерам по защите от грызунов при нахождении на природе. Так, следует избегать зарослей травы, а запасы пищи необходимо хранить в недоступных для мышей местах и таре.</w:t>
      </w:r>
    </w:p>
    <w:p w:rsidR="00B506F2" w:rsidRPr="00B506F2" w:rsidRDefault="00B506F2" w:rsidP="00B506F2">
      <w:pPr>
        <w:shd w:val="clear" w:color="auto" w:fill="F5F5F5"/>
        <w:spacing w:before="240" w:after="240" w:line="336" w:lineRule="auto"/>
        <w:outlineLvl w:val="1"/>
        <w:rPr>
          <w:rFonts w:ascii="Georgia" w:eastAsia="Times New Roman" w:hAnsi="Georgia" w:cs="Arial"/>
          <w:b/>
          <w:bCs/>
          <w:color w:val="3A9C63"/>
          <w:sz w:val="24"/>
          <w:szCs w:val="24"/>
          <w:lang w:eastAsia="ru-RU"/>
        </w:rPr>
      </w:pPr>
      <w:r w:rsidRPr="00B506F2">
        <w:rPr>
          <w:rFonts w:ascii="Georgia" w:eastAsia="Times New Roman" w:hAnsi="Georgia" w:cs="Arial"/>
          <w:b/>
          <w:bCs/>
          <w:color w:val="3A9C63"/>
          <w:sz w:val="24"/>
          <w:szCs w:val="24"/>
          <w:lang w:eastAsia="ru-RU"/>
        </w:rPr>
        <w:lastRenderedPageBreak/>
        <w:t>Клещевой энцефалит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i/>
          <w:iCs/>
          <w:color w:val="516D7B"/>
          <w:sz w:val="20"/>
          <w:szCs w:val="20"/>
          <w:lang w:eastAsia="ru-RU"/>
        </w:rPr>
        <w:t>Клещевой энцефалит (весеннее-летний, таежный)</w:t>
      </w: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– острая нейровирусная инфекции, которая передается клещами, характеризуется острым началом, лихорадкой и выраженным поражением нервной системы.</w:t>
      </w: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О</w:t>
      </w: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тносится к группе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природно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– очаговых болезней человека. Основным хранилищем и переносчиком вируса являются иксодовые клещи.</w:t>
      </w:r>
    </w:p>
    <w:p w:rsidR="00B506F2" w:rsidRPr="00B506F2" w:rsidRDefault="00B506F2" w:rsidP="00B506F2">
      <w:pPr>
        <w:spacing w:before="150" w:after="150" w:line="336" w:lineRule="auto"/>
        <w:jc w:val="center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noProof/>
          <w:color w:val="516D7B"/>
          <w:sz w:val="20"/>
          <w:szCs w:val="20"/>
          <w:lang w:eastAsia="ru-RU"/>
        </w:rPr>
        <w:drawing>
          <wp:inline distT="0" distB="0" distL="0" distR="0" wp14:anchorId="08E711FA" wp14:editId="297F82AB">
            <wp:extent cx="1672590" cy="1771015"/>
            <wp:effectExtent l="0" t="0" r="3810" b="635"/>
            <wp:docPr id="3" name="Рисунок 3" descr="Иксодовый клещ  и присосавшийся иксодовый кле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ксодовый клещ  и присосавшийся иксодовый кле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6F2">
        <w:rPr>
          <w:rFonts w:ascii="Arial" w:eastAsia="Times New Roman" w:hAnsi="Arial" w:cs="Arial"/>
          <w:noProof/>
          <w:color w:val="516D7B"/>
          <w:sz w:val="20"/>
          <w:szCs w:val="20"/>
          <w:lang w:eastAsia="ru-RU"/>
        </w:rPr>
        <w:drawing>
          <wp:inline distT="0" distB="0" distL="0" distR="0" wp14:anchorId="23A96A68" wp14:editId="1AAA7BDD">
            <wp:extent cx="2619375" cy="1729740"/>
            <wp:effectExtent l="0" t="0" r="9525" b="3810"/>
            <wp:docPr id="4" name="Рисунок 4" descr="Иксодовый клещ  и присосавшийся иксодовый кле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ксодовый клещ  и присосавшийся иксодовый кле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6F2" w:rsidRPr="00B506F2" w:rsidRDefault="00B506F2" w:rsidP="00B506F2">
      <w:pPr>
        <w:spacing w:before="150" w:after="150" w:line="336" w:lineRule="auto"/>
        <w:jc w:val="center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i/>
          <w:iCs/>
          <w:color w:val="516D7B"/>
          <w:sz w:val="20"/>
          <w:szCs w:val="20"/>
          <w:lang w:eastAsia="ru-RU"/>
        </w:rPr>
        <w:t xml:space="preserve">Иксодовый </w:t>
      </w:r>
      <w:proofErr w:type="gramStart"/>
      <w:r w:rsidRPr="00B506F2">
        <w:rPr>
          <w:rFonts w:ascii="Arial" w:eastAsia="Times New Roman" w:hAnsi="Arial" w:cs="Arial"/>
          <w:i/>
          <w:iCs/>
          <w:color w:val="516D7B"/>
          <w:sz w:val="20"/>
          <w:szCs w:val="20"/>
          <w:lang w:eastAsia="ru-RU"/>
        </w:rPr>
        <w:t>клещ  и</w:t>
      </w:r>
      <w:proofErr w:type="gramEnd"/>
      <w:r w:rsidRPr="00B506F2">
        <w:rPr>
          <w:rFonts w:ascii="Arial" w:eastAsia="Times New Roman" w:hAnsi="Arial" w:cs="Arial"/>
          <w:i/>
          <w:iCs/>
          <w:color w:val="516D7B"/>
          <w:sz w:val="20"/>
          <w:szCs w:val="20"/>
          <w:lang w:eastAsia="ru-RU"/>
        </w:rPr>
        <w:t xml:space="preserve"> присосавшийся иксодовый клещ.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Дополнительным резервуаром могут быть грызуны – заяц, еж, бурундук, полевая мышь, птицы – дрозд, щегол, зяблик, хищники – волк. Человек заболевает через укус клеща, возможно также заражение через употребление в пищу сырого молока коз и коров.</w:t>
      </w:r>
    </w:p>
    <w:p w:rsidR="00B506F2" w:rsidRPr="00B506F2" w:rsidRDefault="00B506F2" w:rsidP="00B506F2">
      <w:pPr>
        <w:shd w:val="clear" w:color="auto" w:fill="F5F5F5"/>
        <w:spacing w:before="240" w:after="240" w:line="336" w:lineRule="auto"/>
        <w:outlineLvl w:val="2"/>
        <w:rPr>
          <w:rFonts w:ascii="Georgia" w:eastAsia="Times New Roman" w:hAnsi="Georgia" w:cs="Arial"/>
          <w:b/>
          <w:bCs/>
          <w:color w:val="808080"/>
          <w:lang w:eastAsia="ru-RU"/>
        </w:rPr>
      </w:pPr>
      <w:r w:rsidRPr="00B506F2">
        <w:rPr>
          <w:rFonts w:ascii="Georgia" w:eastAsia="Times New Roman" w:hAnsi="Georgia" w:cs="Arial"/>
          <w:b/>
          <w:bCs/>
          <w:color w:val="808080"/>
          <w:lang w:eastAsia="ru-RU"/>
        </w:rPr>
        <w:t>Симптомы клещевого энцефалита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Инкубационный период – 10 – 31 дней. Вирус попадает в кровь, нервную систему и развивается энцефалит. Высокая температура – до 40 градусов, сильная головная боль, боли в мышцах, возможно нарушение сознания, озноб, тошнота и рвота, нарушения сна. Острый период – 6 – 14 дней. Наблюдается покраснение кожи лица и груди больного, сосудов глаз. Возможно развитие бронхита, пневмонии, нарушений сердечно – сосудистой системы и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желудочно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– кишечного тракта. Выделяют пять клинических форм болезни: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• лихорадочная, </w:t>
      </w: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• </w:t>
      </w:r>
      <w:proofErr w:type="gram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менингеальная,</w:t>
      </w: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•</w:t>
      </w:r>
      <w:proofErr w:type="gram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 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менингоэнцефалическая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• 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полиомиелитическая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• 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полирадикулоневротическая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.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Наиболее благоприятна лихорадочная форма – 3-5 дней лихорадки и слабо выраженная неврологическая симптоматика.</w:t>
      </w:r>
    </w:p>
    <w:p w:rsidR="00B97720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Наиболее частая форма – менингеальная – сильная головная боль с менингеальными знаками (ригидностью затылочных мышц, симптомом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Кернига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– невозможностью разогнуть в положении лежа на спине согнутые в коленном и тазобедренном суставах ноги). Длится 7 – 14 дней. Исход – благоприятный.</w:t>
      </w:r>
    </w:p>
    <w:p w:rsidR="00B506F2" w:rsidRPr="00B97720" w:rsidRDefault="00B506F2" w:rsidP="00B97720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t xml:space="preserve">Самая тяжелая форма –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менингоэнцефалическая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– дает высокую смертность – до 20%. Выражены симптомы лихорадки, менингеальные симптомы, нередко наблюдается </w:t>
      </w:r>
      <w:proofErr w:type="spellStart"/>
      <w:proofErr w:type="gram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бред,галлюцинации</w:t>
      </w:r>
      <w:proofErr w:type="spellEnd"/>
      <w:proofErr w:type="gram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, психомоторное возбуждение, эпилептические припадки, гемипарезы, подергивания.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При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полиомиелитической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форме у больных на фоне лихорадки развиваются парезы и параличи рук и мышц шеи – рука падает, голова свисает на грудь, пораженные мышцы атрофируются.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Полирадикулоневротическая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форма характеризуется поражением периферических нервов – боли по ходу нервов, покалывание, онемение. Встречается реже, чем все остальные формы.</w:t>
      </w:r>
    </w:p>
    <w:p w:rsidR="00B506F2" w:rsidRPr="00B506F2" w:rsidRDefault="00B506F2" w:rsidP="00B506F2">
      <w:pPr>
        <w:shd w:val="clear" w:color="auto" w:fill="F5F5F5"/>
        <w:spacing w:before="240" w:after="240" w:line="336" w:lineRule="auto"/>
        <w:outlineLvl w:val="2"/>
        <w:rPr>
          <w:rFonts w:ascii="Georgia" w:eastAsia="Times New Roman" w:hAnsi="Georgia" w:cs="Arial"/>
          <w:b/>
          <w:bCs/>
          <w:color w:val="808080"/>
          <w:lang w:eastAsia="ru-RU"/>
        </w:rPr>
      </w:pPr>
      <w:r w:rsidRPr="00B506F2">
        <w:rPr>
          <w:rFonts w:ascii="Georgia" w:eastAsia="Times New Roman" w:hAnsi="Georgia" w:cs="Arial"/>
          <w:b/>
          <w:bCs/>
          <w:color w:val="808080"/>
          <w:lang w:eastAsia="ru-RU"/>
        </w:rPr>
        <w:t>Обследование после укуса клеща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Для диагностики берется анализ крови, ликвора. Основной метод – серологический – диагностическим является нарастание титра антител в 4 раза.</w:t>
      </w:r>
    </w:p>
    <w:p w:rsidR="00B506F2" w:rsidRPr="00B506F2" w:rsidRDefault="00B506F2" w:rsidP="00B506F2">
      <w:pPr>
        <w:shd w:val="clear" w:color="auto" w:fill="F5F5F5"/>
        <w:spacing w:before="240" w:after="240" w:line="336" w:lineRule="auto"/>
        <w:outlineLvl w:val="2"/>
        <w:rPr>
          <w:rFonts w:ascii="Georgia" w:eastAsia="Times New Roman" w:hAnsi="Georgia" w:cs="Arial"/>
          <w:b/>
          <w:bCs/>
          <w:color w:val="808080"/>
          <w:lang w:eastAsia="ru-RU"/>
        </w:rPr>
      </w:pPr>
      <w:r w:rsidRPr="00B506F2">
        <w:rPr>
          <w:rFonts w:ascii="Georgia" w:eastAsia="Times New Roman" w:hAnsi="Georgia" w:cs="Arial"/>
          <w:b/>
          <w:bCs/>
          <w:color w:val="808080"/>
          <w:lang w:eastAsia="ru-RU"/>
        </w:rPr>
        <w:t>Лечение клещевого энцефалита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Больные госпитализируются в инфекционные больницы.</w:t>
      </w: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 xml:space="preserve">Для лечения используют сыворотку, иммуноглобулин, антибиотики, дегидратацию, витамины группы В, антихолинэстеразные препараты, биостимуляторы. В восстановительном периоде – используют дополнительно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нейропротекторы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, массаж, лечебную физкультуру.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Период восстановления длится долго. Возможны остаточные явления в виде атрофии мышц плечевого пояса,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кожевниковская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эпилепсия – подергивания определенной группы мышц и периодические развернутые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эпиприступы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.</w:t>
      </w:r>
    </w:p>
    <w:p w:rsidR="00B506F2" w:rsidRPr="00B506F2" w:rsidRDefault="00B506F2" w:rsidP="00B506F2">
      <w:pPr>
        <w:shd w:val="clear" w:color="auto" w:fill="F5F5F5"/>
        <w:spacing w:before="240" w:after="240" w:line="336" w:lineRule="auto"/>
        <w:outlineLvl w:val="2"/>
        <w:rPr>
          <w:rFonts w:ascii="Georgia" w:eastAsia="Times New Roman" w:hAnsi="Georgia" w:cs="Arial"/>
          <w:b/>
          <w:bCs/>
          <w:color w:val="808080"/>
          <w:lang w:eastAsia="ru-RU"/>
        </w:rPr>
      </w:pPr>
      <w:r w:rsidRPr="00B506F2">
        <w:rPr>
          <w:rFonts w:ascii="Georgia" w:eastAsia="Times New Roman" w:hAnsi="Georgia" w:cs="Arial"/>
          <w:b/>
          <w:bCs/>
          <w:color w:val="808080"/>
          <w:lang w:eastAsia="ru-RU"/>
        </w:rPr>
        <w:t>Профилактика клещевого энцефалита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Профилактика клещевого энцефалита – защита человека от укусов клещей. Это правильная одежда (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противоэнцефалитные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костюмы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БиоСтоп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) в лесу, применение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клещеотпугивающие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средств, само и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взаимоосмотры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после выхода их тайги. Клещи ползут вверх по траве в поиске еды – места укуса.</w:t>
      </w:r>
    </w:p>
    <w:p w:rsidR="00B506F2" w:rsidRPr="00B506F2" w:rsidRDefault="00B506F2" w:rsidP="00B506F2">
      <w:pPr>
        <w:spacing w:before="150" w:after="150" w:line="336" w:lineRule="auto"/>
        <w:jc w:val="center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noProof/>
          <w:color w:val="516D7B"/>
          <w:sz w:val="20"/>
          <w:szCs w:val="20"/>
          <w:lang w:eastAsia="ru-RU"/>
        </w:rPr>
        <w:drawing>
          <wp:inline distT="0" distB="0" distL="0" distR="0" wp14:anchorId="3563CF4E" wp14:editId="5954D050">
            <wp:extent cx="1144905" cy="782320"/>
            <wp:effectExtent l="0" t="0" r="0" b="0"/>
            <wp:docPr id="5" name="Рисунок 5" descr="Так выглядит клещ на тра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к выглядит клещ на трав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6F2" w:rsidRPr="00B506F2" w:rsidRDefault="00B506F2" w:rsidP="00B506F2">
      <w:pPr>
        <w:spacing w:before="150" w:after="150" w:line="336" w:lineRule="auto"/>
        <w:jc w:val="center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i/>
          <w:iCs/>
          <w:color w:val="516D7B"/>
          <w:sz w:val="20"/>
          <w:szCs w:val="20"/>
          <w:lang w:eastAsia="ru-RU"/>
        </w:rPr>
        <w:t>Так выглядит клещ на траве в натуральную величину.</w:t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Поэтому нельзя ходить босяком, лежать в лесу в траве. Обнаруженный клещ должен быть сразу же удален. Нельзя его раздавить. Лучше сразу обратиться в </w:t>
      </w:r>
      <w:proofErr w:type="spellStart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травмпункт</w:t>
      </w:r>
      <w:proofErr w:type="spellEnd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ближайшей больницы или санэпидстанции. Если это невозможно – удалить клеща самостоятельно – захватив его (пинцетом, специальным приспособлением, ниткой) как можно ближе к хоботку и вращая по оси.</w:t>
      </w:r>
    </w:p>
    <w:p w:rsidR="00B506F2" w:rsidRPr="00B506F2" w:rsidRDefault="00B506F2" w:rsidP="00B506F2">
      <w:pPr>
        <w:spacing w:before="150" w:after="150" w:line="336" w:lineRule="auto"/>
        <w:jc w:val="center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noProof/>
          <w:color w:val="516D7B"/>
          <w:sz w:val="20"/>
          <w:szCs w:val="20"/>
          <w:lang w:eastAsia="ru-RU"/>
        </w:rPr>
        <w:lastRenderedPageBreak/>
        <w:drawing>
          <wp:inline distT="0" distB="0" distL="0" distR="0" wp14:anchorId="5114ADAA" wp14:editId="4D8D9CFE">
            <wp:extent cx="2380615" cy="2339340"/>
            <wp:effectExtent l="0" t="0" r="635" b="3810"/>
            <wp:docPr id="6" name="Рисунок 6" descr="Как вытаскивать присосавшегося кле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вытаскивать присосавшегося клещ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6F2">
        <w:rPr>
          <w:rFonts w:ascii="Arial" w:eastAsia="Times New Roman" w:hAnsi="Arial" w:cs="Arial"/>
          <w:noProof/>
          <w:color w:val="516D7B"/>
          <w:sz w:val="20"/>
          <w:szCs w:val="20"/>
          <w:lang w:eastAsia="ru-RU"/>
        </w:rPr>
        <w:drawing>
          <wp:inline distT="0" distB="0" distL="0" distR="0" wp14:anchorId="215733CB" wp14:editId="441DB8FF">
            <wp:extent cx="2380615" cy="2339340"/>
            <wp:effectExtent l="0" t="0" r="635" b="3810"/>
            <wp:docPr id="7" name="Рисунок 7" descr="Как вытаскивать присосавшегося кле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вытаскивать присосавшегося клещ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Резко не дергать – можно его разорвать и заразиться. Ранку нужно будет помазать йодом.</w:t>
      </w:r>
    </w:p>
    <w:p w:rsidR="00B506F2" w:rsidRPr="00B506F2" w:rsidRDefault="00B506F2" w:rsidP="00B506F2">
      <w:pPr>
        <w:spacing w:before="150" w:after="150" w:line="336" w:lineRule="auto"/>
        <w:jc w:val="center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noProof/>
          <w:color w:val="516D7B"/>
          <w:sz w:val="20"/>
          <w:szCs w:val="20"/>
          <w:lang w:eastAsia="ru-RU"/>
        </w:rPr>
        <w:drawing>
          <wp:inline distT="0" distB="0" distL="0" distR="0" wp14:anchorId="296AAED7" wp14:editId="4F116217">
            <wp:extent cx="3427095" cy="2635885"/>
            <wp:effectExtent l="0" t="0" r="1905" b="0"/>
            <wp:docPr id="8" name="Рисунок 8" descr="Насосавшийся кле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осавшийся кле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6F2" w:rsidRPr="00B506F2" w:rsidRDefault="00B506F2" w:rsidP="00B506F2">
      <w:pPr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Клещ исследуется в специальных лабораториях на наличие инфекции. Принести его надо живым в стеклянной банке с закрытой крышкой. Только через 10 дней после укуса можно проверить кровь на клещевой энцефалит. Лицам, подвергшимся укусу клеща, должен быть введен противоклещевой иммуноглобулин или назначены противовирусные препараты</w:t>
      </w:r>
      <w:r w:rsidR="00B97720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</w:t>
      </w:r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.Активная иммунизация населения проводится в Приморском крае, на Урале, Алтае, в Латвии, Эстонии </w:t>
      </w:r>
      <w:bookmarkStart w:id="0" w:name="_GoBack"/>
      <w:bookmarkEnd w:id="0"/>
      <w:r w:rsidRPr="00B506F2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- эндемических очагах. В первую очередь прививают школьников, пенсионеров – любителей турпоходов, грибников и дачников, лиц, чья работа связана с выездом в зеленую зону. Между прививками должно пройти 2 месяца, а перед выходом в лес – 3 недели, чтобы успел выработаться иммунитет. Проводится просветительская работа с населением.</w:t>
      </w:r>
    </w:p>
    <w:p w:rsidR="004A49E8" w:rsidRDefault="004A49E8"/>
    <w:sectPr w:rsidR="004A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F2"/>
    <w:rsid w:val="004A49E8"/>
    <w:rsid w:val="00B506F2"/>
    <w:rsid w:val="00B9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15A97-5D6B-409C-BB42-21FF972D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3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2130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4023">
                              <w:marLeft w:val="-77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9603">
                                      <w:marLeft w:val="77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3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0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6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sovetydnya.com/?p=9394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2015-04-13T07:21:00Z</dcterms:created>
  <dcterms:modified xsi:type="dcterms:W3CDTF">2015-04-13T07:36:00Z</dcterms:modified>
</cp:coreProperties>
</file>