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7D" w:rsidRPr="00EF3A7D" w:rsidRDefault="00EF3A7D" w:rsidP="00EF3A7D">
      <w:pPr>
        <w:jc w:val="center"/>
        <w:rPr>
          <w:b/>
          <w:sz w:val="24"/>
        </w:rPr>
      </w:pPr>
      <w:bookmarkStart w:id="0" w:name="_GoBack"/>
      <w:r w:rsidRPr="00EF3A7D">
        <w:rPr>
          <w:b/>
          <w:sz w:val="24"/>
        </w:rPr>
        <w:t>Целевые значения критериев доступности и качества медицинской помощи</w:t>
      </w:r>
      <w:bookmarkEnd w:id="0"/>
    </w:p>
    <w:p w:rsidR="00EF3A7D" w:rsidRPr="00B04CDC" w:rsidRDefault="00EF3A7D" w:rsidP="00EF3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 рамках Программы устанавливаются следующие целевые значения критериев доступности и качества медицинской помощи, на основе которых проводится комплексная оценка уровня и динамики следующих показателей: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удовлетворенность населения медицинской помощью – 46,5 процента от числа </w:t>
      </w:r>
      <w:proofErr w:type="gramStart"/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опрошенных</w:t>
      </w:r>
      <w:proofErr w:type="gramEnd"/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удовлетворенность потребности населения в высокотехнологичной медицинской помощи – 61,0 процента;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число лиц, страдающих социально значимыми болезнями, с установленным впервые в жизни диагнозом: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онкология – 349,0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туберкулез – 53,9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психиатрия – 204,5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наркология – 165,5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сифилис –35,0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гонорея – 70,9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число лиц в возрасте 18 лет и старше, впервые признанных инвалидами, –  23 033 человека (75,2 на 10 тысяч населения);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общий коэффициент смертности населения – 12,8 на 1000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смертность населения в трудоспособном возрасте – 525,0 на 100 тысяч человек населения соответствующего возраста;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смертность населения от </w:t>
      </w:r>
      <w:proofErr w:type="gramStart"/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сердечно-сосудистых</w:t>
      </w:r>
      <w:proofErr w:type="gramEnd"/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заболеваний – 800,0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смертность населения от онкологических заболеваний – 185,0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смертность населения от внешних причин – 135,0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смертность населения в результате дорожно-транспортных происшествий – 15,6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смертность населения от туберкулеза – 9,05 на 100 тысяч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lastRenderedPageBreak/>
        <w:t>материнская смертность – 13,7 на 100 тысяч родившихся живыми;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младенческая смертность – 6,5 на 1 000 </w:t>
      </w:r>
      <w:proofErr w:type="gramStart"/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родившихся</w:t>
      </w:r>
      <w:proofErr w:type="gramEnd"/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живыми;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охват населения профилактическими осмотрами, проводимыми с целью выявления туберкулеза, – 95 процентов от годового запланированного количества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охват населения профилактическими осмотрами, проводимыми с целью выявления онкологических заболеваний, – 50 процентов от годового запланированного количества населения;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среднегодовая занятость койки в государственных (муниципальных) учреждениях здравоохранения – 345,0 дней;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средняя длительность пребывания больного на круглосуточной койке – 11,2 дня;</w:t>
      </w:r>
    </w:p>
    <w:p w:rsidR="00EF3A7D" w:rsidRPr="00B04CDC" w:rsidRDefault="00EF3A7D" w:rsidP="00EF3A7D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размер дефицита обеспеченности врачебными кадрами – 3473 человека.</w:t>
      </w:r>
    </w:p>
    <w:p w:rsidR="009715DD" w:rsidRDefault="009715DD"/>
    <w:sectPr w:rsidR="0097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7D"/>
    <w:rsid w:val="009715DD"/>
    <w:rsid w:val="00E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stat-2</dc:creator>
  <cp:lastModifiedBy>stat-2</cp:lastModifiedBy>
  <cp:revision>1</cp:revision>
  <dcterms:created xsi:type="dcterms:W3CDTF">2015-03-19T05:43:00Z</dcterms:created>
  <dcterms:modified xsi:type="dcterms:W3CDTF">2015-03-19T05:43:00Z</dcterms:modified>
</cp:coreProperties>
</file>